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EA914" w14:textId="77777777" w:rsidR="006E2226" w:rsidRDefault="006E2226" w:rsidP="006E2226">
      <w:pPr>
        <w:jc w:val="center"/>
        <w:rPr>
          <w:b/>
          <w:sz w:val="28"/>
          <w:szCs w:val="28"/>
          <w:u w:val="single"/>
        </w:rPr>
      </w:pPr>
    </w:p>
    <w:p w14:paraId="71A92D51" w14:textId="77777777" w:rsidR="006E2226" w:rsidRDefault="006E2226" w:rsidP="006E2226">
      <w:pPr>
        <w:jc w:val="center"/>
        <w:rPr>
          <w:b/>
          <w:sz w:val="28"/>
          <w:szCs w:val="28"/>
          <w:u w:val="single"/>
        </w:rPr>
      </w:pPr>
    </w:p>
    <w:p w14:paraId="023C8074" w14:textId="77777777" w:rsidR="006E2226" w:rsidRDefault="006E2226" w:rsidP="006E2226">
      <w:pPr>
        <w:jc w:val="center"/>
        <w:rPr>
          <w:b/>
          <w:sz w:val="28"/>
          <w:szCs w:val="28"/>
          <w:u w:val="single"/>
        </w:rPr>
      </w:pPr>
    </w:p>
    <w:p w14:paraId="30E29809" w14:textId="77777777" w:rsidR="006E2226" w:rsidRDefault="006E2226" w:rsidP="006E2226">
      <w:pPr>
        <w:jc w:val="center"/>
        <w:rPr>
          <w:b/>
          <w:sz w:val="40"/>
          <w:szCs w:val="40"/>
        </w:rPr>
      </w:pPr>
    </w:p>
    <w:p w14:paraId="6C2D57DE" w14:textId="77777777" w:rsidR="006E2226" w:rsidRPr="00926191" w:rsidRDefault="006E2226" w:rsidP="006E2226">
      <w:pPr>
        <w:jc w:val="center"/>
        <w:rPr>
          <w:b/>
          <w:sz w:val="40"/>
          <w:szCs w:val="40"/>
          <w:u w:val="single"/>
        </w:rPr>
      </w:pPr>
      <w:r w:rsidRPr="00926191">
        <w:rPr>
          <w:b/>
          <w:sz w:val="40"/>
          <w:szCs w:val="40"/>
          <w:u w:val="single"/>
        </w:rPr>
        <w:t xml:space="preserve">A REPORT ON </w:t>
      </w:r>
      <w:r w:rsidR="004C6453" w:rsidRPr="00926191">
        <w:rPr>
          <w:b/>
          <w:sz w:val="40"/>
          <w:szCs w:val="40"/>
          <w:u w:val="single"/>
        </w:rPr>
        <w:t xml:space="preserve">INTERNATIONAL </w:t>
      </w:r>
    </w:p>
    <w:p w14:paraId="1F18DFC8" w14:textId="77777777" w:rsidR="006E2226" w:rsidRPr="00926191" w:rsidRDefault="004C6453" w:rsidP="006E2226">
      <w:pPr>
        <w:jc w:val="center"/>
        <w:rPr>
          <w:b/>
          <w:sz w:val="40"/>
          <w:szCs w:val="40"/>
          <w:u w:val="single"/>
        </w:rPr>
      </w:pPr>
      <w:r w:rsidRPr="00926191">
        <w:rPr>
          <w:b/>
          <w:sz w:val="40"/>
          <w:szCs w:val="40"/>
          <w:u w:val="single"/>
        </w:rPr>
        <w:t>CULTURAL POLICIES</w:t>
      </w:r>
      <w:r w:rsidR="00E57F09" w:rsidRPr="00926191">
        <w:rPr>
          <w:b/>
          <w:sz w:val="40"/>
          <w:szCs w:val="40"/>
          <w:u w:val="single"/>
        </w:rPr>
        <w:t xml:space="preserve"> </w:t>
      </w:r>
      <w:r w:rsidR="006E2226" w:rsidRPr="00926191">
        <w:rPr>
          <w:b/>
          <w:sz w:val="40"/>
          <w:szCs w:val="40"/>
          <w:u w:val="single"/>
        </w:rPr>
        <w:t xml:space="preserve">AND INITIATIVES </w:t>
      </w:r>
    </w:p>
    <w:p w14:paraId="20F58264" w14:textId="184DB92D" w:rsidR="00CC28F1" w:rsidRPr="00926191" w:rsidRDefault="006E2226" w:rsidP="006E2226">
      <w:pPr>
        <w:jc w:val="center"/>
        <w:rPr>
          <w:b/>
          <w:sz w:val="40"/>
          <w:szCs w:val="40"/>
          <w:u w:val="single"/>
        </w:rPr>
      </w:pPr>
      <w:r w:rsidRPr="00926191">
        <w:rPr>
          <w:b/>
          <w:sz w:val="40"/>
          <w:szCs w:val="40"/>
          <w:u w:val="single"/>
        </w:rPr>
        <w:t>FOR THE VISUAL ARTS SECTOR</w:t>
      </w:r>
    </w:p>
    <w:p w14:paraId="58811C73" w14:textId="77777777" w:rsidR="006E2226" w:rsidRPr="006E2226" w:rsidRDefault="006E2226" w:rsidP="006E2226">
      <w:pPr>
        <w:jc w:val="center"/>
        <w:rPr>
          <w:b/>
          <w:sz w:val="40"/>
          <w:szCs w:val="40"/>
        </w:rPr>
      </w:pPr>
    </w:p>
    <w:p w14:paraId="78C5ABB1" w14:textId="77777777" w:rsidR="006E2226" w:rsidRDefault="006E2226" w:rsidP="006E2226">
      <w:pPr>
        <w:jc w:val="right"/>
        <w:rPr>
          <w:b/>
          <w:sz w:val="28"/>
          <w:szCs w:val="28"/>
        </w:rPr>
      </w:pPr>
    </w:p>
    <w:p w14:paraId="525895EB" w14:textId="77777777" w:rsidR="006E2226" w:rsidRDefault="006E2226" w:rsidP="006E2226">
      <w:pPr>
        <w:jc w:val="right"/>
        <w:rPr>
          <w:b/>
          <w:sz w:val="28"/>
          <w:szCs w:val="28"/>
        </w:rPr>
      </w:pPr>
    </w:p>
    <w:p w14:paraId="2B7C3283" w14:textId="77777777" w:rsidR="006E2226" w:rsidRDefault="006E2226" w:rsidP="006E2226">
      <w:pPr>
        <w:jc w:val="right"/>
        <w:rPr>
          <w:b/>
          <w:sz w:val="28"/>
          <w:szCs w:val="28"/>
        </w:rPr>
      </w:pPr>
    </w:p>
    <w:p w14:paraId="56AA92C5" w14:textId="77777777" w:rsidR="006E2226" w:rsidRDefault="006E2226" w:rsidP="006E2226">
      <w:pPr>
        <w:jc w:val="right"/>
        <w:rPr>
          <w:b/>
          <w:sz w:val="28"/>
          <w:szCs w:val="28"/>
        </w:rPr>
      </w:pPr>
    </w:p>
    <w:p w14:paraId="68CD7ED5" w14:textId="77777777" w:rsidR="006E2226" w:rsidRDefault="006E2226" w:rsidP="006E2226">
      <w:pPr>
        <w:jc w:val="right"/>
        <w:rPr>
          <w:b/>
          <w:sz w:val="28"/>
          <w:szCs w:val="28"/>
        </w:rPr>
      </w:pPr>
    </w:p>
    <w:p w14:paraId="2E87A778" w14:textId="77777777" w:rsidR="006E2226" w:rsidRDefault="006E2226" w:rsidP="006E2226">
      <w:pPr>
        <w:jc w:val="right"/>
        <w:rPr>
          <w:b/>
          <w:sz w:val="28"/>
          <w:szCs w:val="28"/>
        </w:rPr>
      </w:pPr>
    </w:p>
    <w:p w14:paraId="25306443" w14:textId="77777777" w:rsidR="006E2226" w:rsidRDefault="006E2226" w:rsidP="006E2226">
      <w:pPr>
        <w:jc w:val="right"/>
        <w:rPr>
          <w:b/>
          <w:sz w:val="28"/>
          <w:szCs w:val="28"/>
        </w:rPr>
      </w:pPr>
    </w:p>
    <w:p w14:paraId="4C83249F" w14:textId="77777777" w:rsidR="006E2226" w:rsidRDefault="006E2226" w:rsidP="006E2226">
      <w:pPr>
        <w:jc w:val="right"/>
        <w:rPr>
          <w:b/>
          <w:sz w:val="28"/>
          <w:szCs w:val="28"/>
        </w:rPr>
      </w:pPr>
    </w:p>
    <w:p w14:paraId="5E20D023" w14:textId="77777777" w:rsidR="006E2226" w:rsidRDefault="006E2226" w:rsidP="006E2226">
      <w:pPr>
        <w:jc w:val="right"/>
        <w:rPr>
          <w:b/>
          <w:sz w:val="28"/>
          <w:szCs w:val="28"/>
        </w:rPr>
      </w:pPr>
    </w:p>
    <w:p w14:paraId="2BDDA988" w14:textId="77777777" w:rsidR="006E2226" w:rsidRDefault="006E2226" w:rsidP="006E2226">
      <w:pPr>
        <w:jc w:val="right"/>
        <w:rPr>
          <w:b/>
          <w:sz w:val="28"/>
          <w:szCs w:val="28"/>
        </w:rPr>
      </w:pPr>
    </w:p>
    <w:p w14:paraId="71BD7F93" w14:textId="77777777" w:rsidR="006E2226" w:rsidRDefault="006E2226" w:rsidP="006E2226">
      <w:pPr>
        <w:jc w:val="right"/>
        <w:rPr>
          <w:b/>
          <w:sz w:val="28"/>
          <w:szCs w:val="28"/>
        </w:rPr>
      </w:pPr>
    </w:p>
    <w:p w14:paraId="0DD41AF3" w14:textId="77777777" w:rsidR="006E2226" w:rsidRDefault="006E2226" w:rsidP="006E2226">
      <w:pPr>
        <w:jc w:val="right"/>
        <w:rPr>
          <w:b/>
          <w:sz w:val="28"/>
          <w:szCs w:val="28"/>
        </w:rPr>
      </w:pPr>
    </w:p>
    <w:p w14:paraId="1D1A8929" w14:textId="77777777" w:rsidR="006E2226" w:rsidRDefault="006E2226" w:rsidP="006E2226">
      <w:pPr>
        <w:jc w:val="right"/>
        <w:rPr>
          <w:b/>
          <w:sz w:val="28"/>
          <w:szCs w:val="28"/>
        </w:rPr>
      </w:pPr>
    </w:p>
    <w:p w14:paraId="1E0CBC2B" w14:textId="77777777" w:rsidR="006E2226" w:rsidRDefault="006E2226" w:rsidP="006E2226">
      <w:pPr>
        <w:jc w:val="right"/>
        <w:rPr>
          <w:b/>
          <w:sz w:val="28"/>
          <w:szCs w:val="28"/>
        </w:rPr>
      </w:pPr>
    </w:p>
    <w:p w14:paraId="699B8207" w14:textId="77777777" w:rsidR="006E2226" w:rsidRDefault="006E2226" w:rsidP="006E2226">
      <w:pPr>
        <w:jc w:val="right"/>
        <w:rPr>
          <w:b/>
          <w:sz w:val="28"/>
          <w:szCs w:val="28"/>
        </w:rPr>
      </w:pPr>
    </w:p>
    <w:p w14:paraId="0DD84088" w14:textId="77777777" w:rsidR="006E2226" w:rsidRDefault="006E2226" w:rsidP="006E2226">
      <w:pPr>
        <w:jc w:val="right"/>
        <w:rPr>
          <w:b/>
          <w:sz w:val="28"/>
          <w:szCs w:val="28"/>
        </w:rPr>
      </w:pPr>
    </w:p>
    <w:p w14:paraId="3C3049CB" w14:textId="77777777" w:rsidR="006E2226" w:rsidRDefault="006E2226" w:rsidP="006E2226">
      <w:pPr>
        <w:jc w:val="right"/>
        <w:rPr>
          <w:b/>
          <w:sz w:val="28"/>
          <w:szCs w:val="28"/>
        </w:rPr>
      </w:pPr>
    </w:p>
    <w:p w14:paraId="238BC6EA" w14:textId="77777777" w:rsidR="006E2226" w:rsidRDefault="006E2226" w:rsidP="006E2226">
      <w:pPr>
        <w:jc w:val="right"/>
        <w:rPr>
          <w:b/>
          <w:sz w:val="28"/>
          <w:szCs w:val="28"/>
        </w:rPr>
      </w:pPr>
    </w:p>
    <w:p w14:paraId="6B971601" w14:textId="77777777" w:rsidR="006E2226" w:rsidRDefault="006E2226" w:rsidP="00ED48CA">
      <w:pPr>
        <w:jc w:val="center"/>
        <w:rPr>
          <w:b/>
          <w:sz w:val="28"/>
          <w:szCs w:val="28"/>
        </w:rPr>
      </w:pPr>
    </w:p>
    <w:p w14:paraId="1E340699" w14:textId="77777777" w:rsidR="006E2226" w:rsidRDefault="006E2226" w:rsidP="006E2226">
      <w:pPr>
        <w:jc w:val="right"/>
        <w:rPr>
          <w:b/>
          <w:sz w:val="28"/>
          <w:szCs w:val="28"/>
        </w:rPr>
      </w:pPr>
    </w:p>
    <w:p w14:paraId="4CEDD427" w14:textId="77777777" w:rsidR="006E2226" w:rsidRDefault="006E2226" w:rsidP="006E2226">
      <w:pPr>
        <w:jc w:val="right"/>
        <w:rPr>
          <w:b/>
          <w:sz w:val="28"/>
          <w:szCs w:val="28"/>
        </w:rPr>
      </w:pPr>
    </w:p>
    <w:p w14:paraId="5AF0BB53" w14:textId="77777777" w:rsidR="006E2226" w:rsidRDefault="006E2226" w:rsidP="006E2226">
      <w:pPr>
        <w:jc w:val="right"/>
        <w:rPr>
          <w:b/>
          <w:sz w:val="28"/>
          <w:szCs w:val="28"/>
        </w:rPr>
      </w:pPr>
    </w:p>
    <w:p w14:paraId="604F5337" w14:textId="77777777" w:rsidR="006E2226" w:rsidRDefault="006E2226" w:rsidP="006E2226">
      <w:pPr>
        <w:jc w:val="right"/>
        <w:rPr>
          <w:b/>
          <w:sz w:val="28"/>
          <w:szCs w:val="28"/>
        </w:rPr>
      </w:pPr>
    </w:p>
    <w:p w14:paraId="07AB8F00" w14:textId="2A7C4159" w:rsidR="006E2226" w:rsidRPr="006E2226" w:rsidRDefault="006E2226" w:rsidP="006E2226">
      <w:pPr>
        <w:jc w:val="right"/>
        <w:rPr>
          <w:b/>
          <w:sz w:val="28"/>
          <w:szCs w:val="28"/>
        </w:rPr>
      </w:pPr>
      <w:r w:rsidRPr="006E2226">
        <w:rPr>
          <w:b/>
          <w:sz w:val="28"/>
          <w:szCs w:val="28"/>
        </w:rPr>
        <w:t>Compiled by Alexandra Chiriac</w:t>
      </w:r>
    </w:p>
    <w:p w14:paraId="15A9B472" w14:textId="7BE3B531" w:rsidR="006E2226" w:rsidRPr="006E2226" w:rsidRDefault="006E2226" w:rsidP="006E2226">
      <w:pPr>
        <w:jc w:val="right"/>
        <w:rPr>
          <w:sz w:val="28"/>
          <w:szCs w:val="28"/>
        </w:rPr>
      </w:pPr>
      <w:r w:rsidRPr="006E2226">
        <w:rPr>
          <w:sz w:val="28"/>
          <w:szCs w:val="28"/>
        </w:rPr>
        <w:t>December 2017</w:t>
      </w:r>
    </w:p>
    <w:p w14:paraId="6DBB1137" w14:textId="77777777" w:rsidR="006E2226" w:rsidRDefault="006E2226" w:rsidP="006E2226">
      <w:pPr>
        <w:spacing w:line="240" w:lineRule="auto"/>
        <w:rPr>
          <w:b/>
        </w:rPr>
      </w:pPr>
    </w:p>
    <w:p w14:paraId="1D031FF3" w14:textId="77777777" w:rsidR="006A7454" w:rsidRDefault="006A7454" w:rsidP="006E2226">
      <w:pPr>
        <w:spacing w:line="240" w:lineRule="auto"/>
        <w:rPr>
          <w:b/>
        </w:rPr>
      </w:pPr>
    </w:p>
    <w:p w14:paraId="31F494F0" w14:textId="77777777" w:rsidR="00ED48CA" w:rsidRDefault="00ED48CA">
      <w:pPr>
        <w:spacing w:line="240" w:lineRule="auto"/>
        <w:rPr>
          <w:b/>
          <w:sz w:val="28"/>
          <w:szCs w:val="28"/>
        </w:rPr>
      </w:pPr>
      <w:r>
        <w:rPr>
          <w:b/>
          <w:sz w:val="28"/>
          <w:szCs w:val="28"/>
        </w:rPr>
        <w:br w:type="page"/>
      </w:r>
    </w:p>
    <w:p w14:paraId="1BED718A" w14:textId="193C1B6B" w:rsidR="006A7454" w:rsidRPr="00926191" w:rsidRDefault="00926191">
      <w:pPr>
        <w:spacing w:line="240" w:lineRule="auto"/>
        <w:rPr>
          <w:b/>
          <w:sz w:val="28"/>
          <w:szCs w:val="28"/>
        </w:rPr>
      </w:pPr>
      <w:r w:rsidRPr="00926191">
        <w:rPr>
          <w:b/>
          <w:sz w:val="28"/>
          <w:szCs w:val="28"/>
        </w:rPr>
        <w:lastRenderedPageBreak/>
        <w:t>TABLE OF CONTENTS</w:t>
      </w:r>
    </w:p>
    <w:p w14:paraId="13799B82" w14:textId="77777777" w:rsidR="00926191" w:rsidRDefault="00926191">
      <w:pPr>
        <w:spacing w:line="240" w:lineRule="auto"/>
        <w:rPr>
          <w:b/>
        </w:rPr>
      </w:pPr>
    </w:p>
    <w:p w14:paraId="6A691664" w14:textId="77777777" w:rsidR="0079341C" w:rsidRDefault="00926191">
      <w:pPr>
        <w:pStyle w:val="TOC1"/>
        <w:tabs>
          <w:tab w:val="left" w:pos="350"/>
          <w:tab w:val="right" w:pos="9010"/>
        </w:tabs>
        <w:rPr>
          <w:rFonts w:asciiTheme="minorHAnsi" w:eastAsiaTheme="minorEastAsia" w:hAnsiTheme="minorHAnsi"/>
          <w:b w:val="0"/>
          <w:bCs w:val="0"/>
          <w:caps w:val="0"/>
          <w:noProof/>
          <w:sz w:val="24"/>
          <w:szCs w:val="24"/>
          <w:u w:val="none"/>
          <w:lang w:eastAsia="en-GB"/>
        </w:rPr>
      </w:pPr>
      <w:r>
        <w:rPr>
          <w:b w:val="0"/>
        </w:rPr>
        <w:fldChar w:fldCharType="begin"/>
      </w:r>
      <w:r>
        <w:rPr>
          <w:b w:val="0"/>
        </w:rPr>
        <w:instrText xml:space="preserve"> TOC \o "1-3" </w:instrText>
      </w:r>
      <w:r>
        <w:rPr>
          <w:b w:val="0"/>
        </w:rPr>
        <w:fldChar w:fldCharType="separate"/>
      </w:r>
      <w:r w:rsidR="0079341C">
        <w:rPr>
          <w:noProof/>
        </w:rPr>
        <w:t>1</w:t>
      </w:r>
      <w:r w:rsidR="0079341C">
        <w:rPr>
          <w:rFonts w:asciiTheme="minorHAnsi" w:eastAsiaTheme="minorEastAsia" w:hAnsiTheme="minorHAnsi"/>
          <w:b w:val="0"/>
          <w:bCs w:val="0"/>
          <w:caps w:val="0"/>
          <w:noProof/>
          <w:sz w:val="24"/>
          <w:szCs w:val="24"/>
          <w:u w:val="none"/>
          <w:lang w:eastAsia="en-GB"/>
        </w:rPr>
        <w:tab/>
      </w:r>
      <w:r w:rsidR="0079341C">
        <w:rPr>
          <w:noProof/>
        </w:rPr>
        <w:t>INTRODUCTION AND MAIN SOURCES</w:t>
      </w:r>
      <w:r w:rsidR="0079341C">
        <w:rPr>
          <w:noProof/>
        </w:rPr>
        <w:tab/>
      </w:r>
      <w:r w:rsidR="0079341C">
        <w:rPr>
          <w:noProof/>
        </w:rPr>
        <w:fldChar w:fldCharType="begin"/>
      </w:r>
      <w:r w:rsidR="0079341C">
        <w:rPr>
          <w:noProof/>
        </w:rPr>
        <w:instrText xml:space="preserve"> PAGEREF _Toc503362518 \h </w:instrText>
      </w:r>
      <w:r w:rsidR="0079341C">
        <w:rPr>
          <w:noProof/>
        </w:rPr>
      </w:r>
      <w:r w:rsidR="0079341C">
        <w:rPr>
          <w:noProof/>
        </w:rPr>
        <w:fldChar w:fldCharType="separate"/>
      </w:r>
      <w:r w:rsidR="0079341C">
        <w:rPr>
          <w:noProof/>
        </w:rPr>
        <w:t>1</w:t>
      </w:r>
      <w:r w:rsidR="0079341C">
        <w:rPr>
          <w:noProof/>
        </w:rPr>
        <w:fldChar w:fldCharType="end"/>
      </w:r>
    </w:p>
    <w:p w14:paraId="5C8CEB8B" w14:textId="77777777" w:rsidR="0079341C" w:rsidRDefault="0079341C">
      <w:pPr>
        <w:pStyle w:val="TOC1"/>
        <w:tabs>
          <w:tab w:val="left" w:pos="350"/>
          <w:tab w:val="right" w:pos="9010"/>
        </w:tabs>
        <w:rPr>
          <w:rFonts w:asciiTheme="minorHAnsi" w:eastAsiaTheme="minorEastAsia" w:hAnsiTheme="minorHAnsi"/>
          <w:b w:val="0"/>
          <w:bCs w:val="0"/>
          <w:caps w:val="0"/>
          <w:noProof/>
          <w:sz w:val="24"/>
          <w:szCs w:val="24"/>
          <w:u w:val="none"/>
          <w:lang w:eastAsia="en-GB"/>
        </w:rPr>
      </w:pPr>
      <w:r>
        <w:rPr>
          <w:noProof/>
        </w:rPr>
        <w:t>2</w:t>
      </w:r>
      <w:r>
        <w:rPr>
          <w:rFonts w:asciiTheme="minorHAnsi" w:eastAsiaTheme="minorEastAsia" w:hAnsiTheme="minorHAnsi"/>
          <w:b w:val="0"/>
          <w:bCs w:val="0"/>
          <w:caps w:val="0"/>
          <w:noProof/>
          <w:sz w:val="24"/>
          <w:szCs w:val="24"/>
          <w:u w:val="none"/>
          <w:lang w:eastAsia="en-GB"/>
        </w:rPr>
        <w:tab/>
      </w:r>
      <w:r>
        <w:rPr>
          <w:noProof/>
        </w:rPr>
        <w:t>BEST PRATICES IN INTERNATIONAL CULTURAL POLICY</w:t>
      </w:r>
      <w:r>
        <w:rPr>
          <w:noProof/>
        </w:rPr>
        <w:tab/>
      </w:r>
      <w:r>
        <w:rPr>
          <w:noProof/>
        </w:rPr>
        <w:fldChar w:fldCharType="begin"/>
      </w:r>
      <w:r>
        <w:rPr>
          <w:noProof/>
        </w:rPr>
        <w:instrText xml:space="preserve"> PAGEREF _Toc503362519 \h </w:instrText>
      </w:r>
      <w:r>
        <w:rPr>
          <w:noProof/>
        </w:rPr>
      </w:r>
      <w:r>
        <w:rPr>
          <w:noProof/>
        </w:rPr>
        <w:fldChar w:fldCharType="separate"/>
      </w:r>
      <w:r>
        <w:rPr>
          <w:noProof/>
        </w:rPr>
        <w:t>2</w:t>
      </w:r>
      <w:r>
        <w:rPr>
          <w:noProof/>
        </w:rPr>
        <w:fldChar w:fldCharType="end"/>
      </w:r>
    </w:p>
    <w:p w14:paraId="25351EF2" w14:textId="77777777" w:rsidR="0079341C" w:rsidRDefault="0079341C">
      <w:pPr>
        <w:pStyle w:val="TOC2"/>
        <w:tabs>
          <w:tab w:val="left" w:pos="515"/>
          <w:tab w:val="right" w:pos="9010"/>
        </w:tabs>
        <w:rPr>
          <w:rFonts w:asciiTheme="minorHAnsi" w:eastAsiaTheme="minorEastAsia" w:hAnsiTheme="minorHAnsi"/>
          <w:b w:val="0"/>
          <w:bCs w:val="0"/>
          <w:smallCaps w:val="0"/>
          <w:noProof/>
          <w:sz w:val="24"/>
          <w:szCs w:val="24"/>
          <w:lang w:eastAsia="en-GB"/>
        </w:rPr>
      </w:pPr>
      <w:r>
        <w:rPr>
          <w:noProof/>
        </w:rPr>
        <w:t>2.1</w:t>
      </w:r>
      <w:r>
        <w:rPr>
          <w:rFonts w:asciiTheme="minorHAnsi" w:eastAsiaTheme="minorEastAsia" w:hAnsiTheme="minorHAnsi"/>
          <w:b w:val="0"/>
          <w:bCs w:val="0"/>
          <w:smallCaps w:val="0"/>
          <w:noProof/>
          <w:sz w:val="24"/>
          <w:szCs w:val="24"/>
          <w:lang w:eastAsia="en-GB"/>
        </w:rPr>
        <w:tab/>
      </w:r>
      <w:r>
        <w:rPr>
          <w:noProof/>
        </w:rPr>
        <w:t>Legislation</w:t>
      </w:r>
      <w:r>
        <w:rPr>
          <w:noProof/>
        </w:rPr>
        <w:tab/>
      </w:r>
      <w:r>
        <w:rPr>
          <w:noProof/>
        </w:rPr>
        <w:fldChar w:fldCharType="begin"/>
      </w:r>
      <w:r>
        <w:rPr>
          <w:noProof/>
        </w:rPr>
        <w:instrText xml:space="preserve"> PAGEREF _Toc503362520 \h </w:instrText>
      </w:r>
      <w:r>
        <w:rPr>
          <w:noProof/>
        </w:rPr>
      </w:r>
      <w:r>
        <w:rPr>
          <w:noProof/>
        </w:rPr>
        <w:fldChar w:fldCharType="separate"/>
      </w:r>
      <w:r>
        <w:rPr>
          <w:noProof/>
        </w:rPr>
        <w:t>2</w:t>
      </w:r>
      <w:r>
        <w:rPr>
          <w:noProof/>
        </w:rPr>
        <w:fldChar w:fldCharType="end"/>
      </w:r>
    </w:p>
    <w:p w14:paraId="01F0EF87" w14:textId="77777777" w:rsidR="0079341C" w:rsidRDefault="0079341C">
      <w:pPr>
        <w:pStyle w:val="TOC2"/>
        <w:tabs>
          <w:tab w:val="left" w:pos="515"/>
          <w:tab w:val="right" w:pos="9010"/>
        </w:tabs>
        <w:rPr>
          <w:rFonts w:asciiTheme="minorHAnsi" w:eastAsiaTheme="minorEastAsia" w:hAnsiTheme="minorHAnsi"/>
          <w:b w:val="0"/>
          <w:bCs w:val="0"/>
          <w:smallCaps w:val="0"/>
          <w:noProof/>
          <w:sz w:val="24"/>
          <w:szCs w:val="24"/>
          <w:lang w:eastAsia="en-GB"/>
        </w:rPr>
      </w:pPr>
      <w:r>
        <w:rPr>
          <w:noProof/>
        </w:rPr>
        <w:t>2.2</w:t>
      </w:r>
      <w:r>
        <w:rPr>
          <w:rFonts w:asciiTheme="minorHAnsi" w:eastAsiaTheme="minorEastAsia" w:hAnsiTheme="minorHAnsi"/>
          <w:b w:val="0"/>
          <w:bCs w:val="0"/>
          <w:smallCaps w:val="0"/>
          <w:noProof/>
          <w:sz w:val="24"/>
          <w:szCs w:val="24"/>
          <w:lang w:eastAsia="en-GB"/>
        </w:rPr>
        <w:tab/>
      </w:r>
      <w:r>
        <w:rPr>
          <w:noProof/>
        </w:rPr>
        <w:t>Artists’ Livelihoods</w:t>
      </w:r>
      <w:r>
        <w:rPr>
          <w:noProof/>
        </w:rPr>
        <w:tab/>
      </w:r>
      <w:r>
        <w:rPr>
          <w:noProof/>
        </w:rPr>
        <w:fldChar w:fldCharType="begin"/>
      </w:r>
      <w:r>
        <w:rPr>
          <w:noProof/>
        </w:rPr>
        <w:instrText xml:space="preserve"> PAGEREF _Toc503362521 \h </w:instrText>
      </w:r>
      <w:r>
        <w:rPr>
          <w:noProof/>
        </w:rPr>
      </w:r>
      <w:r>
        <w:rPr>
          <w:noProof/>
        </w:rPr>
        <w:fldChar w:fldCharType="separate"/>
      </w:r>
      <w:r>
        <w:rPr>
          <w:noProof/>
        </w:rPr>
        <w:t>3</w:t>
      </w:r>
      <w:r>
        <w:rPr>
          <w:noProof/>
        </w:rPr>
        <w:fldChar w:fldCharType="end"/>
      </w:r>
    </w:p>
    <w:p w14:paraId="1321B7B5" w14:textId="77777777" w:rsidR="0079341C" w:rsidRDefault="0079341C">
      <w:pPr>
        <w:pStyle w:val="TOC2"/>
        <w:tabs>
          <w:tab w:val="left" w:pos="515"/>
          <w:tab w:val="right" w:pos="9010"/>
        </w:tabs>
        <w:rPr>
          <w:rFonts w:asciiTheme="minorHAnsi" w:eastAsiaTheme="minorEastAsia" w:hAnsiTheme="minorHAnsi"/>
          <w:b w:val="0"/>
          <w:bCs w:val="0"/>
          <w:smallCaps w:val="0"/>
          <w:noProof/>
          <w:sz w:val="24"/>
          <w:szCs w:val="24"/>
          <w:lang w:eastAsia="en-GB"/>
        </w:rPr>
      </w:pPr>
      <w:r>
        <w:rPr>
          <w:noProof/>
        </w:rPr>
        <w:t>2.3</w:t>
      </w:r>
      <w:r>
        <w:rPr>
          <w:rFonts w:asciiTheme="minorHAnsi" w:eastAsiaTheme="minorEastAsia" w:hAnsiTheme="minorHAnsi"/>
          <w:b w:val="0"/>
          <w:bCs w:val="0"/>
          <w:smallCaps w:val="0"/>
          <w:noProof/>
          <w:sz w:val="24"/>
          <w:szCs w:val="24"/>
          <w:lang w:eastAsia="en-GB"/>
        </w:rPr>
        <w:tab/>
      </w:r>
      <w:r>
        <w:rPr>
          <w:noProof/>
        </w:rPr>
        <w:t>Distribution of State Funds</w:t>
      </w:r>
      <w:r>
        <w:rPr>
          <w:noProof/>
        </w:rPr>
        <w:tab/>
      </w:r>
      <w:r>
        <w:rPr>
          <w:noProof/>
        </w:rPr>
        <w:fldChar w:fldCharType="begin"/>
      </w:r>
      <w:r>
        <w:rPr>
          <w:noProof/>
        </w:rPr>
        <w:instrText xml:space="preserve"> PAGEREF _Toc503362522 \h </w:instrText>
      </w:r>
      <w:r>
        <w:rPr>
          <w:noProof/>
        </w:rPr>
      </w:r>
      <w:r>
        <w:rPr>
          <w:noProof/>
        </w:rPr>
        <w:fldChar w:fldCharType="separate"/>
      </w:r>
      <w:r>
        <w:rPr>
          <w:noProof/>
        </w:rPr>
        <w:t>5</w:t>
      </w:r>
      <w:r>
        <w:rPr>
          <w:noProof/>
        </w:rPr>
        <w:fldChar w:fldCharType="end"/>
      </w:r>
    </w:p>
    <w:p w14:paraId="0F914DF0" w14:textId="77777777" w:rsidR="0079341C" w:rsidRDefault="0079341C">
      <w:pPr>
        <w:pStyle w:val="TOC2"/>
        <w:tabs>
          <w:tab w:val="left" w:pos="515"/>
          <w:tab w:val="right" w:pos="9010"/>
        </w:tabs>
        <w:rPr>
          <w:rFonts w:asciiTheme="minorHAnsi" w:eastAsiaTheme="minorEastAsia" w:hAnsiTheme="minorHAnsi"/>
          <w:b w:val="0"/>
          <w:bCs w:val="0"/>
          <w:smallCaps w:val="0"/>
          <w:noProof/>
          <w:sz w:val="24"/>
          <w:szCs w:val="24"/>
          <w:lang w:eastAsia="en-GB"/>
        </w:rPr>
      </w:pPr>
      <w:r>
        <w:rPr>
          <w:noProof/>
        </w:rPr>
        <w:t>2.4</w:t>
      </w:r>
      <w:r>
        <w:rPr>
          <w:rFonts w:asciiTheme="minorHAnsi" w:eastAsiaTheme="minorEastAsia" w:hAnsiTheme="minorHAnsi"/>
          <w:b w:val="0"/>
          <w:bCs w:val="0"/>
          <w:smallCaps w:val="0"/>
          <w:noProof/>
          <w:sz w:val="24"/>
          <w:szCs w:val="24"/>
          <w:lang w:eastAsia="en-GB"/>
        </w:rPr>
        <w:tab/>
      </w:r>
      <w:r>
        <w:rPr>
          <w:noProof/>
        </w:rPr>
        <w:t>Cultural Mobility</w:t>
      </w:r>
      <w:r>
        <w:rPr>
          <w:noProof/>
        </w:rPr>
        <w:tab/>
      </w:r>
      <w:r>
        <w:rPr>
          <w:noProof/>
        </w:rPr>
        <w:fldChar w:fldCharType="begin"/>
      </w:r>
      <w:r>
        <w:rPr>
          <w:noProof/>
        </w:rPr>
        <w:instrText xml:space="preserve"> PAGEREF _Toc503362523 \h </w:instrText>
      </w:r>
      <w:r>
        <w:rPr>
          <w:noProof/>
        </w:rPr>
      </w:r>
      <w:r>
        <w:rPr>
          <w:noProof/>
        </w:rPr>
        <w:fldChar w:fldCharType="separate"/>
      </w:r>
      <w:r>
        <w:rPr>
          <w:noProof/>
        </w:rPr>
        <w:t>7</w:t>
      </w:r>
      <w:r>
        <w:rPr>
          <w:noProof/>
        </w:rPr>
        <w:fldChar w:fldCharType="end"/>
      </w:r>
    </w:p>
    <w:p w14:paraId="546796A0" w14:textId="77777777" w:rsidR="0079341C" w:rsidRDefault="0079341C">
      <w:pPr>
        <w:pStyle w:val="TOC2"/>
        <w:tabs>
          <w:tab w:val="left" w:pos="515"/>
          <w:tab w:val="right" w:pos="9010"/>
        </w:tabs>
        <w:rPr>
          <w:rFonts w:asciiTheme="minorHAnsi" w:eastAsiaTheme="minorEastAsia" w:hAnsiTheme="minorHAnsi"/>
          <w:b w:val="0"/>
          <w:bCs w:val="0"/>
          <w:smallCaps w:val="0"/>
          <w:noProof/>
          <w:sz w:val="24"/>
          <w:szCs w:val="24"/>
          <w:lang w:eastAsia="en-GB"/>
        </w:rPr>
      </w:pPr>
      <w:r>
        <w:rPr>
          <w:noProof/>
        </w:rPr>
        <w:t>2.5</w:t>
      </w:r>
      <w:r>
        <w:rPr>
          <w:rFonts w:asciiTheme="minorHAnsi" w:eastAsiaTheme="minorEastAsia" w:hAnsiTheme="minorHAnsi"/>
          <w:b w:val="0"/>
          <w:bCs w:val="0"/>
          <w:smallCaps w:val="0"/>
          <w:noProof/>
          <w:sz w:val="24"/>
          <w:szCs w:val="24"/>
          <w:lang w:eastAsia="en-GB"/>
        </w:rPr>
        <w:tab/>
      </w:r>
      <w:r>
        <w:rPr>
          <w:noProof/>
        </w:rPr>
        <w:t>Equalities, Diversity, Inclusion &amp; Education</w:t>
      </w:r>
      <w:r>
        <w:rPr>
          <w:noProof/>
        </w:rPr>
        <w:tab/>
      </w:r>
      <w:r>
        <w:rPr>
          <w:noProof/>
        </w:rPr>
        <w:fldChar w:fldCharType="begin"/>
      </w:r>
      <w:r>
        <w:rPr>
          <w:noProof/>
        </w:rPr>
        <w:instrText xml:space="preserve"> PAGEREF _Toc503362524 \h </w:instrText>
      </w:r>
      <w:r>
        <w:rPr>
          <w:noProof/>
        </w:rPr>
      </w:r>
      <w:r>
        <w:rPr>
          <w:noProof/>
        </w:rPr>
        <w:fldChar w:fldCharType="separate"/>
      </w:r>
      <w:r>
        <w:rPr>
          <w:noProof/>
        </w:rPr>
        <w:t>9</w:t>
      </w:r>
      <w:r>
        <w:rPr>
          <w:noProof/>
        </w:rPr>
        <w:fldChar w:fldCharType="end"/>
      </w:r>
    </w:p>
    <w:p w14:paraId="250A58EF" w14:textId="77777777" w:rsidR="0079341C" w:rsidRDefault="0079341C">
      <w:pPr>
        <w:pStyle w:val="TOC1"/>
        <w:tabs>
          <w:tab w:val="left" w:pos="350"/>
          <w:tab w:val="right" w:pos="9010"/>
        </w:tabs>
        <w:rPr>
          <w:rFonts w:asciiTheme="minorHAnsi" w:eastAsiaTheme="minorEastAsia" w:hAnsiTheme="minorHAnsi"/>
          <w:b w:val="0"/>
          <w:bCs w:val="0"/>
          <w:caps w:val="0"/>
          <w:noProof/>
          <w:sz w:val="24"/>
          <w:szCs w:val="24"/>
          <w:u w:val="none"/>
          <w:lang w:eastAsia="en-GB"/>
        </w:rPr>
      </w:pPr>
      <w:r>
        <w:rPr>
          <w:noProof/>
        </w:rPr>
        <w:t>3</w:t>
      </w:r>
      <w:r>
        <w:rPr>
          <w:rFonts w:asciiTheme="minorHAnsi" w:eastAsiaTheme="minorEastAsia" w:hAnsiTheme="minorHAnsi"/>
          <w:b w:val="0"/>
          <w:bCs w:val="0"/>
          <w:caps w:val="0"/>
          <w:noProof/>
          <w:sz w:val="24"/>
          <w:szCs w:val="24"/>
          <w:u w:val="none"/>
          <w:lang w:eastAsia="en-GB"/>
        </w:rPr>
        <w:tab/>
      </w:r>
      <w:r>
        <w:rPr>
          <w:noProof/>
        </w:rPr>
        <w:t>CASE STUDY: BEST PRACTICES IN THREE KEY GEOGRAPHICAL AREAS</w:t>
      </w:r>
      <w:r>
        <w:rPr>
          <w:noProof/>
        </w:rPr>
        <w:tab/>
      </w:r>
      <w:r>
        <w:rPr>
          <w:noProof/>
        </w:rPr>
        <w:fldChar w:fldCharType="begin"/>
      </w:r>
      <w:r>
        <w:rPr>
          <w:noProof/>
        </w:rPr>
        <w:instrText xml:space="preserve"> PAGEREF _Toc503362525 \h </w:instrText>
      </w:r>
      <w:r>
        <w:rPr>
          <w:noProof/>
        </w:rPr>
      </w:r>
      <w:r>
        <w:rPr>
          <w:noProof/>
        </w:rPr>
        <w:fldChar w:fldCharType="separate"/>
      </w:r>
      <w:r>
        <w:rPr>
          <w:noProof/>
        </w:rPr>
        <w:t>11</w:t>
      </w:r>
      <w:r>
        <w:rPr>
          <w:noProof/>
        </w:rPr>
        <w:fldChar w:fldCharType="end"/>
      </w:r>
    </w:p>
    <w:p w14:paraId="19029661" w14:textId="77777777" w:rsidR="0079341C" w:rsidRDefault="0079341C">
      <w:pPr>
        <w:pStyle w:val="TOC2"/>
        <w:tabs>
          <w:tab w:val="left" w:pos="515"/>
          <w:tab w:val="right" w:pos="9010"/>
        </w:tabs>
        <w:rPr>
          <w:rFonts w:asciiTheme="minorHAnsi" w:eastAsiaTheme="minorEastAsia" w:hAnsiTheme="minorHAnsi"/>
          <w:b w:val="0"/>
          <w:bCs w:val="0"/>
          <w:smallCaps w:val="0"/>
          <w:noProof/>
          <w:sz w:val="24"/>
          <w:szCs w:val="24"/>
          <w:lang w:eastAsia="en-GB"/>
        </w:rPr>
      </w:pPr>
      <w:r>
        <w:rPr>
          <w:noProof/>
        </w:rPr>
        <w:t>3.1</w:t>
      </w:r>
      <w:r>
        <w:rPr>
          <w:rFonts w:asciiTheme="minorHAnsi" w:eastAsiaTheme="minorEastAsia" w:hAnsiTheme="minorHAnsi"/>
          <w:b w:val="0"/>
          <w:bCs w:val="0"/>
          <w:smallCaps w:val="0"/>
          <w:noProof/>
          <w:sz w:val="24"/>
          <w:szCs w:val="24"/>
          <w:lang w:eastAsia="en-GB"/>
        </w:rPr>
        <w:tab/>
      </w:r>
      <w:r>
        <w:rPr>
          <w:noProof/>
        </w:rPr>
        <w:t>Nordic Region</w:t>
      </w:r>
      <w:r>
        <w:rPr>
          <w:noProof/>
        </w:rPr>
        <w:tab/>
      </w:r>
      <w:r>
        <w:rPr>
          <w:noProof/>
        </w:rPr>
        <w:fldChar w:fldCharType="begin"/>
      </w:r>
      <w:r>
        <w:rPr>
          <w:noProof/>
        </w:rPr>
        <w:instrText xml:space="preserve"> PAGEREF _Toc503362526 \h </w:instrText>
      </w:r>
      <w:r>
        <w:rPr>
          <w:noProof/>
        </w:rPr>
      </w:r>
      <w:r>
        <w:rPr>
          <w:noProof/>
        </w:rPr>
        <w:fldChar w:fldCharType="separate"/>
      </w:r>
      <w:r>
        <w:rPr>
          <w:noProof/>
        </w:rPr>
        <w:t>11</w:t>
      </w:r>
      <w:r>
        <w:rPr>
          <w:noProof/>
        </w:rPr>
        <w:fldChar w:fldCharType="end"/>
      </w:r>
    </w:p>
    <w:p w14:paraId="134FBAA4" w14:textId="77777777" w:rsidR="0079341C" w:rsidRDefault="0079341C">
      <w:pPr>
        <w:pStyle w:val="TOC3"/>
        <w:tabs>
          <w:tab w:val="left" w:pos="680"/>
          <w:tab w:val="right" w:pos="9010"/>
        </w:tabs>
        <w:rPr>
          <w:rFonts w:asciiTheme="minorHAnsi" w:eastAsiaTheme="minorEastAsia" w:hAnsiTheme="minorHAnsi"/>
          <w:smallCaps w:val="0"/>
          <w:noProof/>
          <w:sz w:val="24"/>
          <w:szCs w:val="24"/>
          <w:lang w:eastAsia="en-GB"/>
        </w:rPr>
      </w:pPr>
      <w:r w:rsidRPr="0035248D">
        <w:rPr>
          <w:noProof/>
        </w:rPr>
        <w:t>3.1.1</w:t>
      </w:r>
      <w:r>
        <w:rPr>
          <w:rFonts w:asciiTheme="minorHAnsi" w:eastAsiaTheme="minorEastAsia" w:hAnsiTheme="minorHAnsi"/>
          <w:smallCaps w:val="0"/>
          <w:noProof/>
          <w:sz w:val="24"/>
          <w:szCs w:val="24"/>
          <w:lang w:eastAsia="en-GB"/>
        </w:rPr>
        <w:tab/>
      </w:r>
      <w:r>
        <w:rPr>
          <w:noProof/>
        </w:rPr>
        <w:t>Overview</w:t>
      </w:r>
      <w:r>
        <w:rPr>
          <w:noProof/>
        </w:rPr>
        <w:tab/>
      </w:r>
      <w:r>
        <w:rPr>
          <w:noProof/>
        </w:rPr>
        <w:fldChar w:fldCharType="begin"/>
      </w:r>
      <w:r>
        <w:rPr>
          <w:noProof/>
        </w:rPr>
        <w:instrText xml:space="preserve"> PAGEREF _Toc503362527 \h </w:instrText>
      </w:r>
      <w:r>
        <w:rPr>
          <w:noProof/>
        </w:rPr>
      </w:r>
      <w:r>
        <w:rPr>
          <w:noProof/>
        </w:rPr>
        <w:fldChar w:fldCharType="separate"/>
      </w:r>
      <w:r>
        <w:rPr>
          <w:noProof/>
        </w:rPr>
        <w:t>11</w:t>
      </w:r>
      <w:r>
        <w:rPr>
          <w:noProof/>
        </w:rPr>
        <w:fldChar w:fldCharType="end"/>
      </w:r>
    </w:p>
    <w:p w14:paraId="74B7F047" w14:textId="77777777" w:rsidR="0079341C" w:rsidRDefault="0079341C">
      <w:pPr>
        <w:pStyle w:val="TOC3"/>
        <w:tabs>
          <w:tab w:val="left" w:pos="680"/>
          <w:tab w:val="right" w:pos="9010"/>
        </w:tabs>
        <w:rPr>
          <w:rFonts w:asciiTheme="minorHAnsi" w:eastAsiaTheme="minorEastAsia" w:hAnsiTheme="minorHAnsi"/>
          <w:smallCaps w:val="0"/>
          <w:noProof/>
          <w:sz w:val="24"/>
          <w:szCs w:val="24"/>
          <w:lang w:eastAsia="en-GB"/>
        </w:rPr>
      </w:pPr>
      <w:r w:rsidRPr="0035248D">
        <w:rPr>
          <w:noProof/>
          <w:lang w:val="en-US"/>
        </w:rPr>
        <w:t>3.1.2</w:t>
      </w:r>
      <w:r>
        <w:rPr>
          <w:rFonts w:asciiTheme="minorHAnsi" w:eastAsiaTheme="minorEastAsia" w:hAnsiTheme="minorHAnsi"/>
          <w:smallCaps w:val="0"/>
          <w:noProof/>
          <w:sz w:val="24"/>
          <w:szCs w:val="24"/>
          <w:lang w:eastAsia="en-GB"/>
        </w:rPr>
        <w:tab/>
      </w:r>
      <w:r w:rsidRPr="0035248D">
        <w:rPr>
          <w:noProof/>
          <w:lang w:val="en-US"/>
        </w:rPr>
        <w:t>Interviews</w:t>
      </w:r>
      <w:r>
        <w:rPr>
          <w:noProof/>
        </w:rPr>
        <w:tab/>
      </w:r>
      <w:r>
        <w:rPr>
          <w:noProof/>
        </w:rPr>
        <w:fldChar w:fldCharType="begin"/>
      </w:r>
      <w:r>
        <w:rPr>
          <w:noProof/>
        </w:rPr>
        <w:instrText xml:space="preserve"> PAGEREF _Toc503362528 \h </w:instrText>
      </w:r>
      <w:r>
        <w:rPr>
          <w:noProof/>
        </w:rPr>
      </w:r>
      <w:r>
        <w:rPr>
          <w:noProof/>
        </w:rPr>
        <w:fldChar w:fldCharType="separate"/>
      </w:r>
      <w:r>
        <w:rPr>
          <w:noProof/>
        </w:rPr>
        <w:t>13</w:t>
      </w:r>
      <w:r>
        <w:rPr>
          <w:noProof/>
        </w:rPr>
        <w:fldChar w:fldCharType="end"/>
      </w:r>
    </w:p>
    <w:p w14:paraId="4F89D7AB" w14:textId="77777777" w:rsidR="0079341C" w:rsidRDefault="0079341C">
      <w:pPr>
        <w:pStyle w:val="TOC2"/>
        <w:tabs>
          <w:tab w:val="left" w:pos="515"/>
          <w:tab w:val="right" w:pos="9010"/>
        </w:tabs>
        <w:rPr>
          <w:rFonts w:asciiTheme="minorHAnsi" w:eastAsiaTheme="minorEastAsia" w:hAnsiTheme="minorHAnsi"/>
          <w:b w:val="0"/>
          <w:bCs w:val="0"/>
          <w:smallCaps w:val="0"/>
          <w:noProof/>
          <w:sz w:val="24"/>
          <w:szCs w:val="24"/>
          <w:lang w:eastAsia="en-GB"/>
        </w:rPr>
      </w:pPr>
      <w:r>
        <w:rPr>
          <w:noProof/>
        </w:rPr>
        <w:t>3.2</w:t>
      </w:r>
      <w:r>
        <w:rPr>
          <w:rFonts w:asciiTheme="minorHAnsi" w:eastAsiaTheme="minorEastAsia" w:hAnsiTheme="minorHAnsi"/>
          <w:b w:val="0"/>
          <w:bCs w:val="0"/>
          <w:smallCaps w:val="0"/>
          <w:noProof/>
          <w:sz w:val="24"/>
          <w:szCs w:val="24"/>
          <w:lang w:eastAsia="en-GB"/>
        </w:rPr>
        <w:tab/>
      </w:r>
      <w:r>
        <w:rPr>
          <w:noProof/>
        </w:rPr>
        <w:t>Germany</w:t>
      </w:r>
      <w:r>
        <w:rPr>
          <w:noProof/>
        </w:rPr>
        <w:tab/>
      </w:r>
      <w:r>
        <w:rPr>
          <w:noProof/>
        </w:rPr>
        <w:fldChar w:fldCharType="begin"/>
      </w:r>
      <w:r>
        <w:rPr>
          <w:noProof/>
        </w:rPr>
        <w:instrText xml:space="preserve"> PAGEREF _Toc503362529 \h </w:instrText>
      </w:r>
      <w:r>
        <w:rPr>
          <w:noProof/>
        </w:rPr>
      </w:r>
      <w:r>
        <w:rPr>
          <w:noProof/>
        </w:rPr>
        <w:fldChar w:fldCharType="separate"/>
      </w:r>
      <w:r>
        <w:rPr>
          <w:noProof/>
        </w:rPr>
        <w:t>14</w:t>
      </w:r>
      <w:r>
        <w:rPr>
          <w:noProof/>
        </w:rPr>
        <w:fldChar w:fldCharType="end"/>
      </w:r>
    </w:p>
    <w:p w14:paraId="762388F8" w14:textId="77777777" w:rsidR="0079341C" w:rsidRDefault="0079341C">
      <w:pPr>
        <w:pStyle w:val="TOC3"/>
        <w:tabs>
          <w:tab w:val="left" w:pos="680"/>
          <w:tab w:val="right" w:pos="9010"/>
        </w:tabs>
        <w:rPr>
          <w:rFonts w:asciiTheme="minorHAnsi" w:eastAsiaTheme="minorEastAsia" w:hAnsiTheme="minorHAnsi"/>
          <w:smallCaps w:val="0"/>
          <w:noProof/>
          <w:sz w:val="24"/>
          <w:szCs w:val="24"/>
          <w:lang w:eastAsia="en-GB"/>
        </w:rPr>
      </w:pPr>
      <w:r w:rsidRPr="0035248D">
        <w:rPr>
          <w:noProof/>
        </w:rPr>
        <w:t>3.2.1</w:t>
      </w:r>
      <w:r>
        <w:rPr>
          <w:rFonts w:asciiTheme="minorHAnsi" w:eastAsiaTheme="minorEastAsia" w:hAnsiTheme="minorHAnsi"/>
          <w:smallCaps w:val="0"/>
          <w:noProof/>
          <w:sz w:val="24"/>
          <w:szCs w:val="24"/>
          <w:lang w:eastAsia="en-GB"/>
        </w:rPr>
        <w:tab/>
      </w:r>
      <w:r>
        <w:rPr>
          <w:noProof/>
        </w:rPr>
        <w:t>Overview</w:t>
      </w:r>
      <w:r>
        <w:rPr>
          <w:noProof/>
        </w:rPr>
        <w:tab/>
      </w:r>
      <w:r>
        <w:rPr>
          <w:noProof/>
        </w:rPr>
        <w:fldChar w:fldCharType="begin"/>
      </w:r>
      <w:r>
        <w:rPr>
          <w:noProof/>
        </w:rPr>
        <w:instrText xml:space="preserve"> PAGEREF _Toc503362530 \h </w:instrText>
      </w:r>
      <w:r>
        <w:rPr>
          <w:noProof/>
        </w:rPr>
      </w:r>
      <w:r>
        <w:rPr>
          <w:noProof/>
        </w:rPr>
        <w:fldChar w:fldCharType="separate"/>
      </w:r>
      <w:r>
        <w:rPr>
          <w:noProof/>
        </w:rPr>
        <w:t>14</w:t>
      </w:r>
      <w:r>
        <w:rPr>
          <w:noProof/>
        </w:rPr>
        <w:fldChar w:fldCharType="end"/>
      </w:r>
    </w:p>
    <w:p w14:paraId="4C4A87BB" w14:textId="77777777" w:rsidR="0079341C" w:rsidRDefault="0079341C">
      <w:pPr>
        <w:pStyle w:val="TOC3"/>
        <w:tabs>
          <w:tab w:val="left" w:pos="680"/>
          <w:tab w:val="right" w:pos="9010"/>
        </w:tabs>
        <w:rPr>
          <w:rFonts w:asciiTheme="minorHAnsi" w:eastAsiaTheme="minorEastAsia" w:hAnsiTheme="minorHAnsi"/>
          <w:smallCaps w:val="0"/>
          <w:noProof/>
          <w:sz w:val="24"/>
          <w:szCs w:val="24"/>
          <w:lang w:eastAsia="en-GB"/>
        </w:rPr>
      </w:pPr>
      <w:r w:rsidRPr="0035248D">
        <w:rPr>
          <w:noProof/>
          <w:lang w:val="en-US"/>
        </w:rPr>
        <w:t>3.2.2</w:t>
      </w:r>
      <w:r>
        <w:rPr>
          <w:rFonts w:asciiTheme="minorHAnsi" w:eastAsiaTheme="minorEastAsia" w:hAnsiTheme="minorHAnsi"/>
          <w:smallCaps w:val="0"/>
          <w:noProof/>
          <w:sz w:val="24"/>
          <w:szCs w:val="24"/>
          <w:lang w:eastAsia="en-GB"/>
        </w:rPr>
        <w:tab/>
      </w:r>
      <w:r w:rsidRPr="0035248D">
        <w:rPr>
          <w:noProof/>
          <w:lang w:val="en-US"/>
        </w:rPr>
        <w:t>Interviews</w:t>
      </w:r>
      <w:r>
        <w:rPr>
          <w:noProof/>
        </w:rPr>
        <w:tab/>
      </w:r>
      <w:r>
        <w:rPr>
          <w:noProof/>
        </w:rPr>
        <w:fldChar w:fldCharType="begin"/>
      </w:r>
      <w:r>
        <w:rPr>
          <w:noProof/>
        </w:rPr>
        <w:instrText xml:space="preserve"> PAGEREF _Toc503362531 \h </w:instrText>
      </w:r>
      <w:r>
        <w:rPr>
          <w:noProof/>
        </w:rPr>
      </w:r>
      <w:r>
        <w:rPr>
          <w:noProof/>
        </w:rPr>
        <w:fldChar w:fldCharType="separate"/>
      </w:r>
      <w:r>
        <w:rPr>
          <w:noProof/>
        </w:rPr>
        <w:t>16</w:t>
      </w:r>
      <w:r>
        <w:rPr>
          <w:noProof/>
        </w:rPr>
        <w:fldChar w:fldCharType="end"/>
      </w:r>
    </w:p>
    <w:p w14:paraId="6245F1AA" w14:textId="77777777" w:rsidR="0079341C" w:rsidRDefault="0079341C">
      <w:pPr>
        <w:pStyle w:val="TOC2"/>
        <w:tabs>
          <w:tab w:val="left" w:pos="515"/>
          <w:tab w:val="right" w:pos="9010"/>
        </w:tabs>
        <w:rPr>
          <w:rFonts w:asciiTheme="minorHAnsi" w:eastAsiaTheme="minorEastAsia" w:hAnsiTheme="minorHAnsi"/>
          <w:b w:val="0"/>
          <w:bCs w:val="0"/>
          <w:smallCaps w:val="0"/>
          <w:noProof/>
          <w:sz w:val="24"/>
          <w:szCs w:val="24"/>
          <w:lang w:eastAsia="en-GB"/>
        </w:rPr>
      </w:pPr>
      <w:r>
        <w:rPr>
          <w:noProof/>
        </w:rPr>
        <w:t>3.3</w:t>
      </w:r>
      <w:r>
        <w:rPr>
          <w:rFonts w:asciiTheme="minorHAnsi" w:eastAsiaTheme="minorEastAsia" w:hAnsiTheme="minorHAnsi"/>
          <w:b w:val="0"/>
          <w:bCs w:val="0"/>
          <w:smallCaps w:val="0"/>
          <w:noProof/>
          <w:sz w:val="24"/>
          <w:szCs w:val="24"/>
          <w:lang w:eastAsia="en-GB"/>
        </w:rPr>
        <w:tab/>
      </w:r>
      <w:r>
        <w:rPr>
          <w:noProof/>
        </w:rPr>
        <w:t>Canada</w:t>
      </w:r>
      <w:r>
        <w:rPr>
          <w:noProof/>
        </w:rPr>
        <w:tab/>
      </w:r>
      <w:r>
        <w:rPr>
          <w:noProof/>
        </w:rPr>
        <w:fldChar w:fldCharType="begin"/>
      </w:r>
      <w:r>
        <w:rPr>
          <w:noProof/>
        </w:rPr>
        <w:instrText xml:space="preserve"> PAGEREF _Toc503362532 \h </w:instrText>
      </w:r>
      <w:r>
        <w:rPr>
          <w:noProof/>
        </w:rPr>
      </w:r>
      <w:r>
        <w:rPr>
          <w:noProof/>
        </w:rPr>
        <w:fldChar w:fldCharType="separate"/>
      </w:r>
      <w:r>
        <w:rPr>
          <w:noProof/>
        </w:rPr>
        <w:t>17</w:t>
      </w:r>
      <w:r>
        <w:rPr>
          <w:noProof/>
        </w:rPr>
        <w:fldChar w:fldCharType="end"/>
      </w:r>
    </w:p>
    <w:p w14:paraId="3054F3B4" w14:textId="77777777" w:rsidR="0079341C" w:rsidRDefault="0079341C">
      <w:pPr>
        <w:pStyle w:val="TOC3"/>
        <w:tabs>
          <w:tab w:val="left" w:pos="680"/>
          <w:tab w:val="right" w:pos="9010"/>
        </w:tabs>
        <w:rPr>
          <w:rFonts w:asciiTheme="minorHAnsi" w:eastAsiaTheme="minorEastAsia" w:hAnsiTheme="minorHAnsi"/>
          <w:smallCaps w:val="0"/>
          <w:noProof/>
          <w:sz w:val="24"/>
          <w:szCs w:val="24"/>
          <w:lang w:eastAsia="en-GB"/>
        </w:rPr>
      </w:pPr>
      <w:r w:rsidRPr="0035248D">
        <w:rPr>
          <w:noProof/>
        </w:rPr>
        <w:t>3.3.1</w:t>
      </w:r>
      <w:r>
        <w:rPr>
          <w:rFonts w:asciiTheme="minorHAnsi" w:eastAsiaTheme="minorEastAsia" w:hAnsiTheme="minorHAnsi"/>
          <w:smallCaps w:val="0"/>
          <w:noProof/>
          <w:sz w:val="24"/>
          <w:szCs w:val="24"/>
          <w:lang w:eastAsia="en-GB"/>
        </w:rPr>
        <w:tab/>
      </w:r>
      <w:r>
        <w:rPr>
          <w:noProof/>
        </w:rPr>
        <w:t>Overview</w:t>
      </w:r>
      <w:r>
        <w:rPr>
          <w:noProof/>
        </w:rPr>
        <w:tab/>
      </w:r>
      <w:r>
        <w:rPr>
          <w:noProof/>
        </w:rPr>
        <w:fldChar w:fldCharType="begin"/>
      </w:r>
      <w:r>
        <w:rPr>
          <w:noProof/>
        </w:rPr>
        <w:instrText xml:space="preserve"> PAGEREF _Toc503362533 \h </w:instrText>
      </w:r>
      <w:r>
        <w:rPr>
          <w:noProof/>
        </w:rPr>
      </w:r>
      <w:r>
        <w:rPr>
          <w:noProof/>
        </w:rPr>
        <w:fldChar w:fldCharType="separate"/>
      </w:r>
      <w:r>
        <w:rPr>
          <w:noProof/>
        </w:rPr>
        <w:t>17</w:t>
      </w:r>
      <w:r>
        <w:rPr>
          <w:noProof/>
        </w:rPr>
        <w:fldChar w:fldCharType="end"/>
      </w:r>
    </w:p>
    <w:p w14:paraId="46161E47" w14:textId="77777777" w:rsidR="0079341C" w:rsidRDefault="0079341C">
      <w:pPr>
        <w:pStyle w:val="TOC3"/>
        <w:tabs>
          <w:tab w:val="left" w:pos="680"/>
          <w:tab w:val="right" w:pos="9010"/>
        </w:tabs>
        <w:rPr>
          <w:rFonts w:asciiTheme="minorHAnsi" w:eastAsiaTheme="minorEastAsia" w:hAnsiTheme="minorHAnsi"/>
          <w:smallCaps w:val="0"/>
          <w:noProof/>
          <w:sz w:val="24"/>
          <w:szCs w:val="24"/>
          <w:lang w:eastAsia="en-GB"/>
        </w:rPr>
      </w:pPr>
      <w:r w:rsidRPr="0035248D">
        <w:rPr>
          <w:noProof/>
          <w:lang w:val="en-US"/>
        </w:rPr>
        <w:t>3.3.2</w:t>
      </w:r>
      <w:r>
        <w:rPr>
          <w:rFonts w:asciiTheme="minorHAnsi" w:eastAsiaTheme="minorEastAsia" w:hAnsiTheme="minorHAnsi"/>
          <w:smallCaps w:val="0"/>
          <w:noProof/>
          <w:sz w:val="24"/>
          <w:szCs w:val="24"/>
          <w:lang w:eastAsia="en-GB"/>
        </w:rPr>
        <w:tab/>
      </w:r>
      <w:r w:rsidRPr="0035248D">
        <w:rPr>
          <w:noProof/>
          <w:lang w:val="en-US"/>
        </w:rPr>
        <w:t>Interviews</w:t>
      </w:r>
      <w:r>
        <w:rPr>
          <w:noProof/>
        </w:rPr>
        <w:tab/>
      </w:r>
      <w:r>
        <w:rPr>
          <w:noProof/>
        </w:rPr>
        <w:fldChar w:fldCharType="begin"/>
      </w:r>
      <w:r>
        <w:rPr>
          <w:noProof/>
        </w:rPr>
        <w:instrText xml:space="preserve"> PAGEREF _Toc503362534 \h </w:instrText>
      </w:r>
      <w:r>
        <w:rPr>
          <w:noProof/>
        </w:rPr>
      </w:r>
      <w:r>
        <w:rPr>
          <w:noProof/>
        </w:rPr>
        <w:fldChar w:fldCharType="separate"/>
      </w:r>
      <w:r>
        <w:rPr>
          <w:noProof/>
        </w:rPr>
        <w:t>19</w:t>
      </w:r>
      <w:r>
        <w:rPr>
          <w:noProof/>
        </w:rPr>
        <w:fldChar w:fldCharType="end"/>
      </w:r>
    </w:p>
    <w:p w14:paraId="5994541F" w14:textId="77777777" w:rsidR="0079341C" w:rsidRDefault="0079341C">
      <w:pPr>
        <w:pStyle w:val="TOC1"/>
        <w:tabs>
          <w:tab w:val="left" w:pos="350"/>
          <w:tab w:val="right" w:pos="9010"/>
        </w:tabs>
        <w:rPr>
          <w:rFonts w:asciiTheme="minorHAnsi" w:eastAsiaTheme="minorEastAsia" w:hAnsiTheme="minorHAnsi"/>
          <w:b w:val="0"/>
          <w:bCs w:val="0"/>
          <w:caps w:val="0"/>
          <w:noProof/>
          <w:sz w:val="24"/>
          <w:szCs w:val="24"/>
          <w:u w:val="none"/>
          <w:lang w:eastAsia="en-GB"/>
        </w:rPr>
      </w:pPr>
      <w:r w:rsidRPr="0035248D">
        <w:rPr>
          <w:noProof/>
          <w:lang w:val="en-US"/>
        </w:rPr>
        <w:t>4</w:t>
      </w:r>
      <w:r>
        <w:rPr>
          <w:rFonts w:asciiTheme="minorHAnsi" w:eastAsiaTheme="minorEastAsia" w:hAnsiTheme="minorHAnsi"/>
          <w:b w:val="0"/>
          <w:bCs w:val="0"/>
          <w:caps w:val="0"/>
          <w:noProof/>
          <w:sz w:val="24"/>
          <w:szCs w:val="24"/>
          <w:u w:val="none"/>
          <w:lang w:eastAsia="en-GB"/>
        </w:rPr>
        <w:tab/>
      </w:r>
      <w:r w:rsidRPr="0035248D">
        <w:rPr>
          <w:noProof/>
          <w:lang w:val="en-US"/>
        </w:rPr>
        <w:t>CONCLUSION</w:t>
      </w:r>
      <w:r>
        <w:rPr>
          <w:noProof/>
        </w:rPr>
        <w:tab/>
      </w:r>
      <w:r>
        <w:rPr>
          <w:noProof/>
        </w:rPr>
        <w:fldChar w:fldCharType="begin"/>
      </w:r>
      <w:r>
        <w:rPr>
          <w:noProof/>
        </w:rPr>
        <w:instrText xml:space="preserve"> PAGEREF _Toc503362535 \h </w:instrText>
      </w:r>
      <w:r>
        <w:rPr>
          <w:noProof/>
        </w:rPr>
      </w:r>
      <w:r>
        <w:rPr>
          <w:noProof/>
        </w:rPr>
        <w:fldChar w:fldCharType="separate"/>
      </w:r>
      <w:r>
        <w:rPr>
          <w:noProof/>
        </w:rPr>
        <w:t>21</w:t>
      </w:r>
      <w:r>
        <w:rPr>
          <w:noProof/>
        </w:rPr>
        <w:fldChar w:fldCharType="end"/>
      </w:r>
    </w:p>
    <w:p w14:paraId="2A6C0A4C" w14:textId="77777777" w:rsidR="0079341C" w:rsidRDefault="0079341C">
      <w:pPr>
        <w:pStyle w:val="TOC1"/>
        <w:tabs>
          <w:tab w:val="left" w:pos="350"/>
          <w:tab w:val="right" w:pos="9010"/>
        </w:tabs>
        <w:rPr>
          <w:rFonts w:asciiTheme="minorHAnsi" w:eastAsiaTheme="minorEastAsia" w:hAnsiTheme="minorHAnsi"/>
          <w:b w:val="0"/>
          <w:bCs w:val="0"/>
          <w:caps w:val="0"/>
          <w:noProof/>
          <w:sz w:val="24"/>
          <w:szCs w:val="24"/>
          <w:u w:val="none"/>
          <w:lang w:eastAsia="en-GB"/>
        </w:rPr>
      </w:pPr>
      <w:r w:rsidRPr="0035248D">
        <w:rPr>
          <w:noProof/>
          <w:lang w:val="en-US"/>
        </w:rPr>
        <w:t>5</w:t>
      </w:r>
      <w:r>
        <w:rPr>
          <w:rFonts w:asciiTheme="minorHAnsi" w:eastAsiaTheme="minorEastAsia" w:hAnsiTheme="minorHAnsi"/>
          <w:b w:val="0"/>
          <w:bCs w:val="0"/>
          <w:caps w:val="0"/>
          <w:noProof/>
          <w:sz w:val="24"/>
          <w:szCs w:val="24"/>
          <w:u w:val="none"/>
          <w:lang w:eastAsia="en-GB"/>
        </w:rPr>
        <w:tab/>
      </w:r>
      <w:r w:rsidRPr="0035248D">
        <w:rPr>
          <w:noProof/>
          <w:lang w:val="en-US"/>
        </w:rPr>
        <w:t>SELECTED BIBLIOGRAPHY</w:t>
      </w:r>
      <w:r>
        <w:rPr>
          <w:noProof/>
        </w:rPr>
        <w:tab/>
      </w:r>
      <w:r>
        <w:rPr>
          <w:noProof/>
        </w:rPr>
        <w:fldChar w:fldCharType="begin"/>
      </w:r>
      <w:r>
        <w:rPr>
          <w:noProof/>
        </w:rPr>
        <w:instrText xml:space="preserve"> PAGEREF _Toc503362536 \h </w:instrText>
      </w:r>
      <w:r>
        <w:rPr>
          <w:noProof/>
        </w:rPr>
      </w:r>
      <w:r>
        <w:rPr>
          <w:noProof/>
        </w:rPr>
        <w:fldChar w:fldCharType="separate"/>
      </w:r>
      <w:r>
        <w:rPr>
          <w:noProof/>
        </w:rPr>
        <w:t>22</w:t>
      </w:r>
      <w:r>
        <w:rPr>
          <w:noProof/>
        </w:rPr>
        <w:fldChar w:fldCharType="end"/>
      </w:r>
    </w:p>
    <w:p w14:paraId="0DD3C1B5" w14:textId="77777777" w:rsidR="0079341C" w:rsidRDefault="0079341C">
      <w:pPr>
        <w:pStyle w:val="TOC2"/>
        <w:tabs>
          <w:tab w:val="left" w:pos="515"/>
          <w:tab w:val="right" w:pos="9010"/>
        </w:tabs>
        <w:rPr>
          <w:rFonts w:asciiTheme="minorHAnsi" w:eastAsiaTheme="minorEastAsia" w:hAnsiTheme="minorHAnsi"/>
          <w:b w:val="0"/>
          <w:bCs w:val="0"/>
          <w:smallCaps w:val="0"/>
          <w:noProof/>
          <w:sz w:val="24"/>
          <w:szCs w:val="24"/>
          <w:lang w:eastAsia="en-GB"/>
        </w:rPr>
      </w:pPr>
      <w:r>
        <w:rPr>
          <w:noProof/>
        </w:rPr>
        <w:t>5.1</w:t>
      </w:r>
      <w:r>
        <w:rPr>
          <w:rFonts w:asciiTheme="minorHAnsi" w:eastAsiaTheme="minorEastAsia" w:hAnsiTheme="minorHAnsi"/>
          <w:b w:val="0"/>
          <w:bCs w:val="0"/>
          <w:smallCaps w:val="0"/>
          <w:noProof/>
          <w:sz w:val="24"/>
          <w:szCs w:val="24"/>
          <w:lang w:eastAsia="en-GB"/>
        </w:rPr>
        <w:tab/>
      </w:r>
      <w:r>
        <w:rPr>
          <w:noProof/>
        </w:rPr>
        <w:t>Principal Sources</w:t>
      </w:r>
      <w:r>
        <w:rPr>
          <w:noProof/>
        </w:rPr>
        <w:tab/>
      </w:r>
      <w:r>
        <w:rPr>
          <w:noProof/>
        </w:rPr>
        <w:fldChar w:fldCharType="begin"/>
      </w:r>
      <w:r>
        <w:rPr>
          <w:noProof/>
        </w:rPr>
        <w:instrText xml:space="preserve"> PAGEREF _Toc503362537 \h </w:instrText>
      </w:r>
      <w:r>
        <w:rPr>
          <w:noProof/>
        </w:rPr>
      </w:r>
      <w:r>
        <w:rPr>
          <w:noProof/>
        </w:rPr>
        <w:fldChar w:fldCharType="separate"/>
      </w:r>
      <w:r>
        <w:rPr>
          <w:noProof/>
        </w:rPr>
        <w:t>22</w:t>
      </w:r>
      <w:r>
        <w:rPr>
          <w:noProof/>
        </w:rPr>
        <w:fldChar w:fldCharType="end"/>
      </w:r>
    </w:p>
    <w:p w14:paraId="0FBAE3CB" w14:textId="77777777" w:rsidR="0079341C" w:rsidRDefault="0079341C">
      <w:pPr>
        <w:pStyle w:val="TOC2"/>
        <w:tabs>
          <w:tab w:val="left" w:pos="515"/>
          <w:tab w:val="right" w:pos="9010"/>
        </w:tabs>
        <w:rPr>
          <w:rFonts w:asciiTheme="minorHAnsi" w:eastAsiaTheme="minorEastAsia" w:hAnsiTheme="minorHAnsi"/>
          <w:b w:val="0"/>
          <w:bCs w:val="0"/>
          <w:smallCaps w:val="0"/>
          <w:noProof/>
          <w:sz w:val="24"/>
          <w:szCs w:val="24"/>
          <w:lang w:eastAsia="en-GB"/>
        </w:rPr>
      </w:pPr>
      <w:r>
        <w:rPr>
          <w:noProof/>
        </w:rPr>
        <w:t>5.2</w:t>
      </w:r>
      <w:r>
        <w:rPr>
          <w:rFonts w:asciiTheme="minorHAnsi" w:eastAsiaTheme="minorEastAsia" w:hAnsiTheme="minorHAnsi"/>
          <w:b w:val="0"/>
          <w:bCs w:val="0"/>
          <w:smallCaps w:val="0"/>
          <w:noProof/>
          <w:sz w:val="24"/>
          <w:szCs w:val="24"/>
          <w:lang w:eastAsia="en-GB"/>
        </w:rPr>
        <w:tab/>
      </w:r>
      <w:r>
        <w:rPr>
          <w:noProof/>
        </w:rPr>
        <w:t>UK Sources</w:t>
      </w:r>
      <w:r>
        <w:rPr>
          <w:noProof/>
        </w:rPr>
        <w:tab/>
      </w:r>
      <w:r>
        <w:rPr>
          <w:noProof/>
        </w:rPr>
        <w:fldChar w:fldCharType="begin"/>
      </w:r>
      <w:r>
        <w:rPr>
          <w:noProof/>
        </w:rPr>
        <w:instrText xml:space="preserve"> PAGEREF _Toc503362538 \h </w:instrText>
      </w:r>
      <w:r>
        <w:rPr>
          <w:noProof/>
        </w:rPr>
      </w:r>
      <w:r>
        <w:rPr>
          <w:noProof/>
        </w:rPr>
        <w:fldChar w:fldCharType="separate"/>
      </w:r>
      <w:r>
        <w:rPr>
          <w:noProof/>
        </w:rPr>
        <w:t>22</w:t>
      </w:r>
      <w:r>
        <w:rPr>
          <w:noProof/>
        </w:rPr>
        <w:fldChar w:fldCharType="end"/>
      </w:r>
    </w:p>
    <w:p w14:paraId="0FC1AE94" w14:textId="77777777" w:rsidR="0079341C" w:rsidRDefault="0079341C">
      <w:pPr>
        <w:pStyle w:val="TOC2"/>
        <w:tabs>
          <w:tab w:val="left" w:pos="515"/>
          <w:tab w:val="right" w:pos="9010"/>
        </w:tabs>
        <w:rPr>
          <w:rFonts w:asciiTheme="minorHAnsi" w:eastAsiaTheme="minorEastAsia" w:hAnsiTheme="minorHAnsi"/>
          <w:b w:val="0"/>
          <w:bCs w:val="0"/>
          <w:smallCaps w:val="0"/>
          <w:noProof/>
          <w:sz w:val="24"/>
          <w:szCs w:val="24"/>
          <w:lang w:eastAsia="en-GB"/>
        </w:rPr>
      </w:pPr>
      <w:r>
        <w:rPr>
          <w:noProof/>
        </w:rPr>
        <w:t>5.3</w:t>
      </w:r>
      <w:r>
        <w:rPr>
          <w:rFonts w:asciiTheme="minorHAnsi" w:eastAsiaTheme="minorEastAsia" w:hAnsiTheme="minorHAnsi"/>
          <w:b w:val="0"/>
          <w:bCs w:val="0"/>
          <w:smallCaps w:val="0"/>
          <w:noProof/>
          <w:sz w:val="24"/>
          <w:szCs w:val="24"/>
          <w:lang w:eastAsia="en-GB"/>
        </w:rPr>
        <w:tab/>
      </w:r>
      <w:r>
        <w:rPr>
          <w:noProof/>
        </w:rPr>
        <w:t>International Sources</w:t>
      </w:r>
      <w:r>
        <w:rPr>
          <w:noProof/>
        </w:rPr>
        <w:tab/>
      </w:r>
      <w:r>
        <w:rPr>
          <w:noProof/>
        </w:rPr>
        <w:fldChar w:fldCharType="begin"/>
      </w:r>
      <w:r>
        <w:rPr>
          <w:noProof/>
        </w:rPr>
        <w:instrText xml:space="preserve"> PAGEREF _Toc503362539 \h </w:instrText>
      </w:r>
      <w:r>
        <w:rPr>
          <w:noProof/>
        </w:rPr>
      </w:r>
      <w:r>
        <w:rPr>
          <w:noProof/>
        </w:rPr>
        <w:fldChar w:fldCharType="separate"/>
      </w:r>
      <w:r>
        <w:rPr>
          <w:noProof/>
        </w:rPr>
        <w:t>22</w:t>
      </w:r>
      <w:r>
        <w:rPr>
          <w:noProof/>
        </w:rPr>
        <w:fldChar w:fldCharType="end"/>
      </w:r>
    </w:p>
    <w:p w14:paraId="763FA8EA" w14:textId="77777777" w:rsidR="006A7454" w:rsidRDefault="00926191" w:rsidP="006E2226">
      <w:pPr>
        <w:spacing w:line="240" w:lineRule="auto"/>
        <w:rPr>
          <w:b/>
        </w:rPr>
        <w:sectPr w:rsidR="006A7454" w:rsidSect="006E2226">
          <w:footerReference w:type="even" r:id="rId8"/>
          <w:footerReference w:type="default" r:id="rId9"/>
          <w:pgSz w:w="11900" w:h="16840"/>
          <w:pgMar w:top="1440" w:right="1440" w:bottom="1440" w:left="1440" w:header="708" w:footer="708" w:gutter="0"/>
          <w:pgNumType w:start="0"/>
          <w:cols w:space="708"/>
          <w:docGrid w:linePitch="360"/>
        </w:sectPr>
      </w:pPr>
      <w:r>
        <w:rPr>
          <w:b/>
        </w:rPr>
        <w:fldChar w:fldCharType="end"/>
      </w:r>
    </w:p>
    <w:p w14:paraId="41673869" w14:textId="5933CDD9" w:rsidR="00FF1E8A" w:rsidRPr="00560BCD" w:rsidRDefault="0035663E" w:rsidP="009D7617">
      <w:pPr>
        <w:pStyle w:val="Heading1"/>
      </w:pPr>
      <w:bookmarkStart w:id="0" w:name="_Toc503362518"/>
      <w:r w:rsidRPr="009D7617">
        <w:lastRenderedPageBreak/>
        <w:t>INTRODUCTION</w:t>
      </w:r>
      <w:r w:rsidR="00324B78">
        <w:t xml:space="preserve"> AND </w:t>
      </w:r>
      <w:r w:rsidR="00926191">
        <w:t xml:space="preserve">MAIN </w:t>
      </w:r>
      <w:r w:rsidR="00324B78">
        <w:t>SOURCES</w:t>
      </w:r>
      <w:bookmarkEnd w:id="0"/>
    </w:p>
    <w:p w14:paraId="2FEBDE06" w14:textId="77777777" w:rsidR="00FF1E8A" w:rsidRDefault="00FF1E8A"/>
    <w:p w14:paraId="3FB6E01C" w14:textId="045E3FF5" w:rsidR="00A71BC2" w:rsidRDefault="00397579" w:rsidP="00A71BC2">
      <w:r>
        <w:t xml:space="preserve">Through this project, supported by the Scottish Graduate School of Arts and Humanities, </w:t>
      </w:r>
      <w:r w:rsidR="00474390">
        <w:t xml:space="preserve">research was conducted into cultural policy in Europe and North America with the aim of </w:t>
      </w:r>
      <w:r>
        <w:t>identify</w:t>
      </w:r>
      <w:r w:rsidR="00474390">
        <w:t>ing</w:t>
      </w:r>
      <w:r>
        <w:t xml:space="preserve"> best practice examples of pol</w:t>
      </w:r>
      <w:r w:rsidR="00983B36">
        <w:t>icy, legislation and government-</w:t>
      </w:r>
      <w:r>
        <w:t>led initiatives that positively impact the contemporary visual arts sector</w:t>
      </w:r>
      <w:r w:rsidR="00474390">
        <w:t xml:space="preserve">. </w:t>
      </w:r>
    </w:p>
    <w:p w14:paraId="1FA3BBCB" w14:textId="77777777" w:rsidR="00A71BC2" w:rsidRDefault="00A71BC2" w:rsidP="00A71BC2"/>
    <w:p w14:paraId="2F53739B" w14:textId="4E8B2F1D" w:rsidR="00A71BC2" w:rsidRDefault="00A71BC2" w:rsidP="00A71BC2">
      <w:r>
        <w:t xml:space="preserve">The first </w:t>
      </w:r>
      <w:r w:rsidR="00926191">
        <w:t>half</w:t>
      </w:r>
      <w:r>
        <w:t xml:space="preserve"> of this report summarises some of these international best practices and juxtaposes them with </w:t>
      </w:r>
      <w:r w:rsidR="002B2863">
        <w:t xml:space="preserve">some </w:t>
      </w:r>
      <w:r>
        <w:t xml:space="preserve">UK examples. The starting point for this enquiry was the Cultural Policies and Trends in Europe </w:t>
      </w:r>
      <w:proofErr w:type="spellStart"/>
      <w:r>
        <w:t>Compedium</w:t>
      </w:r>
      <w:proofErr w:type="spellEnd"/>
      <w:r>
        <w:rPr>
          <w:lang w:val="en-US"/>
        </w:rPr>
        <w:t xml:space="preserve">, a </w:t>
      </w:r>
      <w:r w:rsidRPr="00E444A9">
        <w:rPr>
          <w:lang w:val="en-US"/>
        </w:rPr>
        <w:t xml:space="preserve">transnational project initiated by the Steering Committee for Culture of the Council of Europe </w:t>
      </w:r>
      <w:r>
        <w:rPr>
          <w:lang w:val="en-US"/>
        </w:rPr>
        <w:t xml:space="preserve">which </w:t>
      </w:r>
      <w:r w:rsidRPr="00E444A9">
        <w:rPr>
          <w:lang w:val="en-US"/>
        </w:rPr>
        <w:t xml:space="preserve">has been running as a joint venture with the European Institute for Comparative Cultural </w:t>
      </w:r>
      <w:r>
        <w:rPr>
          <w:lang w:val="en-US"/>
        </w:rPr>
        <w:t>Research (</w:t>
      </w:r>
      <w:proofErr w:type="spellStart"/>
      <w:r>
        <w:rPr>
          <w:lang w:val="en-US"/>
        </w:rPr>
        <w:t>ERICarts</w:t>
      </w:r>
      <w:proofErr w:type="spellEnd"/>
      <w:r>
        <w:rPr>
          <w:lang w:val="en-US"/>
        </w:rPr>
        <w:t xml:space="preserve">) since 1998. </w:t>
      </w:r>
      <w:r>
        <w:t xml:space="preserve">Another important source of information was data gathered from SCAN members and stakeholders. As well as reaching out through a project-specific survey, the data gathered through the Visual Arts Review Question 58 (for individuals) and Question 63 (for organisations) was consulted. Thirdly, various platforms for arts news and information, as well as artists’ association in various countries have provided further leads on best practices. </w:t>
      </w:r>
    </w:p>
    <w:p w14:paraId="5D06461E" w14:textId="409E2CA0" w:rsidR="00A71BC2" w:rsidRPr="00512800" w:rsidRDefault="00A71BC2" w:rsidP="00A71BC2">
      <w:pPr>
        <w:rPr>
          <w:lang w:val="en-US"/>
        </w:rPr>
      </w:pPr>
    </w:p>
    <w:p w14:paraId="3129F9ED" w14:textId="4D6D22EB" w:rsidR="00397579" w:rsidRDefault="006F291C" w:rsidP="00D90AA0">
      <w:r>
        <w:t xml:space="preserve">The second </w:t>
      </w:r>
      <w:r w:rsidR="00926191">
        <w:t>half</w:t>
      </w:r>
      <w:r>
        <w:t xml:space="preserve"> of this report delves deeper into the cultural policy of three geographical regions that have a strong reputation in </w:t>
      </w:r>
      <w:r w:rsidR="00D90AA0">
        <w:t xml:space="preserve">supporting the visual arts: the Nordic region, Germany and Canada. The detailed overviews of these regions are also based on the </w:t>
      </w:r>
      <w:proofErr w:type="spellStart"/>
      <w:r w:rsidR="00D90AA0">
        <w:t>ERICarts</w:t>
      </w:r>
      <w:proofErr w:type="spellEnd"/>
      <w:r w:rsidR="00D90AA0">
        <w:t xml:space="preserve"> </w:t>
      </w:r>
      <w:proofErr w:type="spellStart"/>
      <w:r w:rsidR="00D90AA0">
        <w:t>Compedium</w:t>
      </w:r>
      <w:proofErr w:type="spellEnd"/>
      <w:r w:rsidR="00D90AA0">
        <w:t xml:space="preserve">, as well as feedback from representatives of the British Council and the Canada Council for the Arts. Furthermore, local arts professionals were interviewed with the aim of </w:t>
      </w:r>
      <w:r w:rsidR="00397579">
        <w:t>assess</w:t>
      </w:r>
      <w:r w:rsidR="00D90AA0">
        <w:t>ing</w:t>
      </w:r>
      <w:r w:rsidR="00397579">
        <w:t xml:space="preserve"> the experience</w:t>
      </w:r>
      <w:r w:rsidR="00D90AA0">
        <w:t>s</w:t>
      </w:r>
      <w:r w:rsidR="00397579">
        <w:t xml:space="preserve"> </w:t>
      </w:r>
      <w:r w:rsidR="00D90AA0">
        <w:t xml:space="preserve">of </w:t>
      </w:r>
      <w:r w:rsidR="00397579">
        <w:t>artist</w:t>
      </w:r>
      <w:r w:rsidR="00D90AA0">
        <w:t xml:space="preserve">s, </w:t>
      </w:r>
      <w:r w:rsidR="00397579">
        <w:t>curators and institution</w:t>
      </w:r>
      <w:r w:rsidR="00D90AA0">
        <w:t>s working within these</w:t>
      </w:r>
      <w:r w:rsidR="00397579">
        <w:t xml:space="preserve"> </w:t>
      </w:r>
      <w:r w:rsidR="009450CD">
        <w:t>regions</w:t>
      </w:r>
      <w:r w:rsidR="003F6997">
        <w:t xml:space="preserve"> and demonstrating</w:t>
      </w:r>
      <w:r w:rsidR="00397579">
        <w:t xml:space="preserve"> how the policy situation in their local context impacts their work, reach and impact.</w:t>
      </w:r>
    </w:p>
    <w:p w14:paraId="5DDAE257" w14:textId="77777777" w:rsidR="00397579" w:rsidRDefault="00397579"/>
    <w:p w14:paraId="6AAFA97A" w14:textId="77777777" w:rsidR="0035663E" w:rsidRDefault="0035663E" w:rsidP="00560BCD"/>
    <w:p w14:paraId="502788FF" w14:textId="77777777" w:rsidR="00926191" w:rsidRDefault="00926191">
      <w:pPr>
        <w:spacing w:line="240" w:lineRule="auto"/>
        <w:rPr>
          <w:b/>
        </w:rPr>
      </w:pPr>
      <w:r>
        <w:br w:type="page"/>
      </w:r>
    </w:p>
    <w:p w14:paraId="0473D499" w14:textId="0A99FA64" w:rsidR="0035663E" w:rsidRPr="00874CE8" w:rsidRDefault="0035663E" w:rsidP="009D7617">
      <w:pPr>
        <w:pStyle w:val="Heading1"/>
      </w:pPr>
      <w:bookmarkStart w:id="1" w:name="_Toc503362519"/>
      <w:r>
        <w:lastRenderedPageBreak/>
        <w:t>BEST PRATICES IN INTERNATIONAL CULTURAL POLICY</w:t>
      </w:r>
      <w:bookmarkEnd w:id="1"/>
      <w:r>
        <w:t xml:space="preserve"> </w:t>
      </w:r>
    </w:p>
    <w:p w14:paraId="4C3C9A54" w14:textId="77777777" w:rsidR="00A71BC2" w:rsidRDefault="00A71BC2" w:rsidP="00A71BC2"/>
    <w:p w14:paraId="47275D8C" w14:textId="50569C26" w:rsidR="00A71BC2" w:rsidRDefault="00A71BC2" w:rsidP="00A71BC2">
      <w:r w:rsidRPr="0099478A">
        <w:t xml:space="preserve">Although countries do inevitably opt for a wide variety of policies and practices, it is possible to summarise trends </w:t>
      </w:r>
      <w:r w:rsidR="001552A9">
        <w:t xml:space="preserve">and particularly successful examples </w:t>
      </w:r>
      <w:r>
        <w:t xml:space="preserve">that </w:t>
      </w:r>
      <w:r w:rsidRPr="0099478A">
        <w:t>emerg</w:t>
      </w:r>
      <w:r>
        <w:t>e</w:t>
      </w:r>
      <w:r w:rsidRPr="0099478A">
        <w:t xml:space="preserve"> from the data gathered.</w:t>
      </w:r>
      <w:r w:rsidR="001552A9">
        <w:t xml:space="preserve"> Five policy different areas were investigated: legislation, artists’ livelihoods, distribution of state funding, cultural mobility and EDI and education. </w:t>
      </w:r>
    </w:p>
    <w:p w14:paraId="3CEAB5D7" w14:textId="77777777" w:rsidR="0035663E" w:rsidRDefault="0035663E" w:rsidP="00560BCD"/>
    <w:p w14:paraId="294F44F8" w14:textId="66B28F49" w:rsidR="0035663E" w:rsidRPr="006B4614" w:rsidRDefault="0035663E" w:rsidP="0035663E">
      <w:pPr>
        <w:pStyle w:val="Heading2"/>
      </w:pPr>
      <w:bookmarkStart w:id="2" w:name="_Toc503362520"/>
      <w:r w:rsidRPr="009D7617">
        <w:t>Legislation</w:t>
      </w:r>
      <w:bookmarkEnd w:id="2"/>
    </w:p>
    <w:p w14:paraId="61159BC2" w14:textId="033DC91F" w:rsidR="0035663E" w:rsidRDefault="0026491F" w:rsidP="0035663E">
      <w:pPr>
        <w:rPr>
          <w:lang w:val="en-US"/>
        </w:rPr>
      </w:pPr>
      <w:r>
        <w:rPr>
          <w:u w:val="single"/>
          <w:lang w:val="en-US"/>
        </w:rPr>
        <w:t>Status of the A</w:t>
      </w:r>
      <w:r w:rsidR="0035663E" w:rsidRPr="00A9076A">
        <w:rPr>
          <w:u w:val="single"/>
          <w:lang w:val="en-US"/>
        </w:rPr>
        <w:t>rtist</w:t>
      </w:r>
      <w:r w:rsidR="0035663E" w:rsidRPr="0026491F">
        <w:rPr>
          <w:lang w:val="en-US"/>
        </w:rPr>
        <w:t xml:space="preserve"> </w:t>
      </w:r>
      <w:r>
        <w:rPr>
          <w:lang w:val="en-US"/>
        </w:rPr>
        <w:t>is a category of legislation directed at improving</w:t>
      </w:r>
      <w:r w:rsidRPr="0026491F">
        <w:rPr>
          <w:lang w:val="en-US"/>
        </w:rPr>
        <w:t xml:space="preserve"> th</w:t>
      </w:r>
      <w:r>
        <w:rPr>
          <w:lang w:val="en-US"/>
        </w:rPr>
        <w:t>e</w:t>
      </w:r>
      <w:r w:rsidRPr="0026491F">
        <w:rPr>
          <w:lang w:val="en-US"/>
        </w:rPr>
        <w:t xml:space="preserve"> social and economic situation of professional artists </w:t>
      </w:r>
      <w:r>
        <w:rPr>
          <w:lang w:val="en-US"/>
        </w:rPr>
        <w:t xml:space="preserve">and outlining their importance to </w:t>
      </w:r>
      <w:r w:rsidRPr="0026491F">
        <w:rPr>
          <w:lang w:val="en-US"/>
        </w:rPr>
        <w:t>society</w:t>
      </w:r>
      <w:r>
        <w:rPr>
          <w:lang w:val="en-US"/>
        </w:rPr>
        <w:t>.</w:t>
      </w:r>
      <w:r w:rsidRPr="0026491F">
        <w:rPr>
          <w:lang w:val="en-US"/>
        </w:rPr>
        <w:t xml:space="preserve"> </w:t>
      </w:r>
      <w:r>
        <w:rPr>
          <w:lang w:val="en-US"/>
        </w:rPr>
        <w:t>Such legislation</w:t>
      </w:r>
      <w:r w:rsidR="0035663E">
        <w:rPr>
          <w:lang w:val="en-US"/>
        </w:rPr>
        <w:t xml:space="preserve"> </w:t>
      </w:r>
      <w:r>
        <w:rPr>
          <w:lang w:val="en-US"/>
        </w:rPr>
        <w:t xml:space="preserve">only exists in a limited number of countries. </w:t>
      </w:r>
      <w:r w:rsidR="0035663E">
        <w:rPr>
          <w:lang w:val="en-US"/>
        </w:rPr>
        <w:t>Canada has been at the forefront of this practice, with Quebec province to having</w:t>
      </w:r>
      <w:r w:rsidR="0035663E" w:rsidRPr="004962DC">
        <w:rPr>
          <w:lang w:val="en-US"/>
        </w:rPr>
        <w:t xml:space="preserve"> its own </w:t>
      </w:r>
      <w:r w:rsidR="0035663E" w:rsidRPr="00A9076A">
        <w:rPr>
          <w:lang w:val="en-US"/>
        </w:rPr>
        <w:t xml:space="preserve">status of the artist legislation </w:t>
      </w:r>
      <w:r w:rsidR="0035663E">
        <w:rPr>
          <w:lang w:val="en-US"/>
        </w:rPr>
        <w:t xml:space="preserve">since 1987. At federal level the country followed suit in 1995, when the Status of the Artist Act officially </w:t>
      </w:r>
      <w:proofErr w:type="spellStart"/>
      <w:r w:rsidR="0035663E">
        <w:rPr>
          <w:lang w:val="en-US"/>
        </w:rPr>
        <w:t>recognised</w:t>
      </w:r>
      <w:proofErr w:type="spellEnd"/>
      <w:r w:rsidR="0035663E" w:rsidRPr="004962DC">
        <w:rPr>
          <w:lang w:val="en-US"/>
        </w:rPr>
        <w:t xml:space="preserve"> the contributions artists make to Canadian cultural, social, economic an</w:t>
      </w:r>
      <w:r w:rsidR="0035663E">
        <w:rPr>
          <w:lang w:val="en-US"/>
        </w:rPr>
        <w:t>d political life and established</w:t>
      </w:r>
      <w:r w:rsidR="0035663E" w:rsidRPr="004962DC">
        <w:rPr>
          <w:lang w:val="en-US"/>
        </w:rPr>
        <w:t xml:space="preserve"> a policy on the professional status of the artist. </w:t>
      </w:r>
      <w:r w:rsidR="0035663E">
        <w:rPr>
          <w:lang w:val="en-US"/>
        </w:rPr>
        <w:t xml:space="preserve">More detailed information is provided in the section on Canada below. Morocco also adopted status of the artist legislation in 2003, including sections on remuneration, social security and juvenile artists. </w:t>
      </w:r>
    </w:p>
    <w:p w14:paraId="0783FCCE" w14:textId="77777777" w:rsidR="00153D36" w:rsidRDefault="00153D36" w:rsidP="0035663E">
      <w:pPr>
        <w:rPr>
          <w:lang w:val="en-US"/>
        </w:rPr>
      </w:pPr>
    </w:p>
    <w:p w14:paraId="6D861DA3" w14:textId="559702BE" w:rsidR="00153D36" w:rsidRDefault="00153D36" w:rsidP="0035663E">
      <w:pPr>
        <w:rPr>
          <w:lang w:val="en-US"/>
        </w:rPr>
      </w:pPr>
      <w:r>
        <w:rPr>
          <w:lang w:val="en-US"/>
        </w:rPr>
        <w:t xml:space="preserve">In a small number of countries </w:t>
      </w:r>
      <w:r w:rsidRPr="00DB4B5D">
        <w:rPr>
          <w:u w:val="single"/>
          <w:lang w:val="en-US"/>
        </w:rPr>
        <w:t xml:space="preserve">cultural spending </w:t>
      </w:r>
      <w:r w:rsidRPr="00DB4B5D">
        <w:rPr>
          <w:lang w:val="en-US"/>
        </w:rPr>
        <w:t xml:space="preserve">is </w:t>
      </w:r>
      <w:r w:rsidR="00496292" w:rsidRPr="00DB4B5D">
        <w:rPr>
          <w:lang w:val="en-US"/>
        </w:rPr>
        <w:t>earmarked in</w:t>
      </w:r>
      <w:r w:rsidR="00496292" w:rsidRPr="00DB4B5D">
        <w:rPr>
          <w:u w:val="single"/>
          <w:lang w:val="en-US"/>
        </w:rPr>
        <w:t xml:space="preserve"> legislation</w:t>
      </w:r>
      <w:r w:rsidR="00496292">
        <w:rPr>
          <w:lang w:val="en-US"/>
        </w:rPr>
        <w:t xml:space="preserve">. </w:t>
      </w:r>
      <w:r w:rsidR="00DB4B5D">
        <w:rPr>
          <w:lang w:val="en-US"/>
        </w:rPr>
        <w:t xml:space="preserve">In Austria, the Federal Arts Promotion Act has been in place since 1988, specifying </w:t>
      </w:r>
      <w:r w:rsidR="00DB4B5D" w:rsidRPr="00DB4B5D">
        <w:rPr>
          <w:lang w:val="en-US"/>
        </w:rPr>
        <w:t>that the federal budget must include the requisite funds for public arts promotion and that the social situation of artists and the framework for private sponsoring need to be improved. The law stipulates that promotion has to be directed mainly at "contemporary art, its spiritual changes and its variety" and lists the</w:t>
      </w:r>
      <w:r w:rsidR="007150E0">
        <w:rPr>
          <w:lang w:val="en-US"/>
        </w:rPr>
        <w:t xml:space="preserve"> disciplines</w:t>
      </w:r>
      <w:r w:rsidR="00DB4B5D" w:rsidRPr="00DB4B5D">
        <w:rPr>
          <w:lang w:val="en-US"/>
        </w:rPr>
        <w:t xml:space="preserve"> to be supported</w:t>
      </w:r>
      <w:r w:rsidR="007150E0">
        <w:rPr>
          <w:lang w:val="en-US"/>
        </w:rPr>
        <w:t xml:space="preserve">, including visual arts, </w:t>
      </w:r>
      <w:r w:rsidR="00DB4B5D" w:rsidRPr="00DB4B5D">
        <w:rPr>
          <w:lang w:val="en-US"/>
        </w:rPr>
        <w:t>by way of production, presentation, dissemination and preservation of works and documents. Facilities that serve this purpose have to be similarly supported. The law also lists individual measures that may be taken (e.g. funds, grants, acquisitions, loans, commissions, prizes awarded).</w:t>
      </w:r>
      <w:r w:rsidR="00DB4B5D">
        <w:rPr>
          <w:lang w:val="en-US"/>
        </w:rPr>
        <w:t xml:space="preserve"> In Finland, where the national lottery scheme is instrumental for financing the cultural sector, t</w:t>
      </w:r>
      <w:r w:rsidR="00DB4B5D" w:rsidRPr="00DB4B5D">
        <w:rPr>
          <w:lang w:val="en-US"/>
        </w:rPr>
        <w:t>he Lottery Act</w:t>
      </w:r>
      <w:r w:rsidR="002C3651">
        <w:rPr>
          <w:lang w:val="en-US"/>
        </w:rPr>
        <w:t xml:space="preserve"> and </w:t>
      </w:r>
      <w:r w:rsidR="00DB4B5D" w:rsidRPr="00DB4B5D">
        <w:rPr>
          <w:lang w:val="en-US"/>
        </w:rPr>
        <w:t xml:space="preserve">the Act Regulating the Use of the Profits of Lottery / Lotto earmark the returns from the state's lotto monopoly towards specific purposes, including </w:t>
      </w:r>
      <w:r w:rsidR="002C3651">
        <w:rPr>
          <w:lang w:val="en-US"/>
        </w:rPr>
        <w:t xml:space="preserve">a specific percentage (currently </w:t>
      </w:r>
      <w:r w:rsidR="00DB4B5D" w:rsidRPr="00DB4B5D">
        <w:rPr>
          <w:lang w:val="en-US"/>
        </w:rPr>
        <w:t>38.5%</w:t>
      </w:r>
      <w:r w:rsidR="002C3651">
        <w:rPr>
          <w:lang w:val="en-US"/>
        </w:rPr>
        <w:t>)</w:t>
      </w:r>
      <w:r w:rsidR="00DB4B5D" w:rsidRPr="00DB4B5D">
        <w:rPr>
          <w:lang w:val="en-US"/>
        </w:rPr>
        <w:t xml:space="preserve"> to the arts</w:t>
      </w:r>
      <w:r w:rsidR="00DB4B5D">
        <w:rPr>
          <w:lang w:val="en-US"/>
        </w:rPr>
        <w:t>.</w:t>
      </w:r>
      <w:r w:rsidR="00327279">
        <w:rPr>
          <w:lang w:val="en-US"/>
        </w:rPr>
        <w:t xml:space="preserve"> </w:t>
      </w:r>
      <w:r w:rsidR="00574502">
        <w:rPr>
          <w:lang w:val="en-US"/>
        </w:rPr>
        <w:t xml:space="preserve">In Belgium, </w:t>
      </w:r>
      <w:r w:rsidR="008F5EB6" w:rsidRPr="00340921">
        <w:rPr>
          <w:lang w:val="en-US"/>
        </w:rPr>
        <w:t xml:space="preserve">subsidy legislation </w:t>
      </w:r>
      <w:r w:rsidR="008F5EB6">
        <w:rPr>
          <w:lang w:val="en-US"/>
        </w:rPr>
        <w:t xml:space="preserve">exists in the shape of </w:t>
      </w:r>
      <w:r w:rsidR="00574502">
        <w:rPr>
          <w:lang w:val="en-US"/>
        </w:rPr>
        <w:t xml:space="preserve">the Arts Decree </w:t>
      </w:r>
      <w:r w:rsidR="008F5EB6">
        <w:rPr>
          <w:lang w:val="en-US"/>
        </w:rPr>
        <w:t>introduced in 2004 to support</w:t>
      </w:r>
      <w:r w:rsidR="00340921" w:rsidRPr="00340921">
        <w:rPr>
          <w:lang w:val="en-US"/>
        </w:rPr>
        <w:t xml:space="preserve"> the emancipation of </w:t>
      </w:r>
      <w:r w:rsidR="008F5EB6">
        <w:rPr>
          <w:lang w:val="en-US"/>
        </w:rPr>
        <w:t>all art disciplines and provide</w:t>
      </w:r>
      <w:r w:rsidR="00340921" w:rsidRPr="00340921">
        <w:rPr>
          <w:lang w:val="en-US"/>
        </w:rPr>
        <w:t xml:space="preserve"> funding covering several years.</w:t>
      </w:r>
      <w:r w:rsidR="008F5EB6">
        <w:rPr>
          <w:lang w:val="en-US"/>
        </w:rPr>
        <w:t xml:space="preserve"> </w:t>
      </w:r>
      <w:r w:rsidR="00574502" w:rsidRPr="00574502">
        <w:rPr>
          <w:lang w:val="en-US"/>
        </w:rPr>
        <w:t>Furthermore, the</w:t>
      </w:r>
      <w:r w:rsidR="008F5EB6">
        <w:rPr>
          <w:lang w:val="en-US"/>
        </w:rPr>
        <w:t xml:space="preserve"> Act supports</w:t>
      </w:r>
      <w:r w:rsidR="00574502" w:rsidRPr="00574502">
        <w:rPr>
          <w:lang w:val="en-US"/>
        </w:rPr>
        <w:t xml:space="preserve"> international initiatives, arts education or socio-artistic projects, publications, and support </w:t>
      </w:r>
      <w:proofErr w:type="spellStart"/>
      <w:r w:rsidR="00574502" w:rsidRPr="00574502">
        <w:rPr>
          <w:lang w:val="en-US"/>
        </w:rPr>
        <w:t>centres</w:t>
      </w:r>
      <w:proofErr w:type="spellEnd"/>
      <w:r w:rsidR="00574502" w:rsidRPr="00574502">
        <w:rPr>
          <w:lang w:val="en-US"/>
        </w:rPr>
        <w:t xml:space="preserve"> for </w:t>
      </w:r>
      <w:r w:rsidR="008F5EB6">
        <w:rPr>
          <w:lang w:val="en-US"/>
        </w:rPr>
        <w:t>the different arts disciplines.</w:t>
      </w:r>
      <w:r w:rsidR="0032497B">
        <w:rPr>
          <w:lang w:val="en-US"/>
        </w:rPr>
        <w:t xml:space="preserve"> In the Netherlands, t</w:t>
      </w:r>
      <w:r w:rsidR="0032497B" w:rsidRPr="0032497B">
        <w:rPr>
          <w:lang w:val="en-US"/>
        </w:rPr>
        <w:t xml:space="preserve">he </w:t>
      </w:r>
      <w:r w:rsidR="0032497B">
        <w:rPr>
          <w:lang w:val="en-US"/>
        </w:rPr>
        <w:t xml:space="preserve">Cultural Policy </w:t>
      </w:r>
      <w:r w:rsidR="0032497B" w:rsidRPr="0032497B">
        <w:rPr>
          <w:lang w:val="en-US"/>
        </w:rPr>
        <w:t xml:space="preserve">Act </w:t>
      </w:r>
      <w:r w:rsidR="0032497B">
        <w:rPr>
          <w:lang w:val="en-US"/>
        </w:rPr>
        <w:t xml:space="preserve">1993 </w:t>
      </w:r>
      <w:r w:rsidR="0032497B" w:rsidRPr="0032497B">
        <w:rPr>
          <w:lang w:val="en-US"/>
        </w:rPr>
        <w:t xml:space="preserve">regulates </w:t>
      </w:r>
      <w:r w:rsidR="0032497B">
        <w:rPr>
          <w:lang w:val="en-US"/>
        </w:rPr>
        <w:t>arts</w:t>
      </w:r>
      <w:r w:rsidR="0032497B" w:rsidRPr="0032497B">
        <w:rPr>
          <w:lang w:val="en-US"/>
        </w:rPr>
        <w:t xml:space="preserve"> subsidies based on cultural policy decisions and enables the Minister of Education, Culture and Scienc</w:t>
      </w:r>
      <w:r w:rsidR="0032497B">
        <w:rPr>
          <w:lang w:val="en-US"/>
        </w:rPr>
        <w:t>e</w:t>
      </w:r>
      <w:r w:rsidR="0032497B" w:rsidRPr="0032497B">
        <w:rPr>
          <w:lang w:val="en-US"/>
        </w:rPr>
        <w:t xml:space="preserve"> to create funds to fina</w:t>
      </w:r>
      <w:r w:rsidR="0032497B">
        <w:rPr>
          <w:lang w:val="en-US"/>
        </w:rPr>
        <w:t xml:space="preserve">nce the arts and culture. </w:t>
      </w:r>
      <w:r w:rsidR="0032497B" w:rsidRPr="0032497B">
        <w:rPr>
          <w:lang w:val="en-US"/>
        </w:rPr>
        <w:t xml:space="preserve">The Act also regulates specific policy and financial relations </w:t>
      </w:r>
      <w:r w:rsidR="0032497B">
        <w:rPr>
          <w:lang w:val="en-US"/>
        </w:rPr>
        <w:t xml:space="preserve">between the State, </w:t>
      </w:r>
      <w:r w:rsidR="0032497B" w:rsidRPr="0032497B">
        <w:rPr>
          <w:lang w:val="en-US"/>
        </w:rPr>
        <w:t>provinces and municipalities</w:t>
      </w:r>
      <w:r w:rsidR="0032497B">
        <w:rPr>
          <w:lang w:val="en-US"/>
        </w:rPr>
        <w:t>.</w:t>
      </w:r>
    </w:p>
    <w:p w14:paraId="13AF8B12" w14:textId="77777777" w:rsidR="002F2B5E" w:rsidRDefault="002F2B5E" w:rsidP="0035663E">
      <w:pPr>
        <w:rPr>
          <w:lang w:val="en-US"/>
        </w:rPr>
      </w:pPr>
    </w:p>
    <w:p w14:paraId="4C93D538" w14:textId="21741879" w:rsidR="00A76A17" w:rsidRPr="00A76A17" w:rsidRDefault="00A2678F" w:rsidP="00A76A17">
      <w:pPr>
        <w:rPr>
          <w:lang w:val="en-US"/>
        </w:rPr>
      </w:pPr>
      <w:r w:rsidRPr="00251D2E">
        <w:rPr>
          <w:u w:val="double"/>
          <w:lang w:val="en-US"/>
        </w:rPr>
        <w:t>In the UK</w:t>
      </w:r>
      <w:r>
        <w:rPr>
          <w:lang w:val="en-US"/>
        </w:rPr>
        <w:t>,</w:t>
      </w:r>
      <w:r w:rsidRPr="00A2678F">
        <w:rPr>
          <w:lang w:val="en-US"/>
        </w:rPr>
        <w:t xml:space="preserve"> </w:t>
      </w:r>
      <w:r>
        <w:rPr>
          <w:lang w:val="en-US"/>
        </w:rPr>
        <w:t>t</w:t>
      </w:r>
      <w:r w:rsidRPr="00A2678F">
        <w:rPr>
          <w:lang w:val="en-US"/>
        </w:rPr>
        <w:t>here is no over-arching legislative Act specifically governing culture, tho</w:t>
      </w:r>
      <w:r>
        <w:rPr>
          <w:lang w:val="en-US"/>
        </w:rPr>
        <w:t>ugh legislation has been intro</w:t>
      </w:r>
      <w:r w:rsidRPr="00A2678F">
        <w:rPr>
          <w:lang w:val="en-US"/>
        </w:rPr>
        <w:t>duced over many years concerning specific cultural sectors. In</w:t>
      </w:r>
      <w:r>
        <w:rPr>
          <w:lang w:val="en-US"/>
        </w:rPr>
        <w:t xml:space="preserve"> addition to the UK Government, </w:t>
      </w:r>
      <w:r w:rsidRPr="00A2678F">
        <w:rPr>
          <w:lang w:val="en-US"/>
        </w:rPr>
        <w:t>the Scottish Parliament and Northern Ireland Assembly can enact their own primary legislation and raise taxes for their own countries. This can include culture.</w:t>
      </w:r>
      <w:r>
        <w:rPr>
          <w:lang w:val="en-US"/>
        </w:rPr>
        <w:t xml:space="preserve"> </w:t>
      </w:r>
      <w:r w:rsidRPr="00A2678F">
        <w:rPr>
          <w:lang w:val="en-US"/>
        </w:rPr>
        <w:t>Local authorities are empowered in all four countrie</w:t>
      </w:r>
      <w:r w:rsidR="00FE0DB9">
        <w:rPr>
          <w:lang w:val="en-US"/>
        </w:rPr>
        <w:t>s in the UK to support culture, although such pow</w:t>
      </w:r>
      <w:r w:rsidRPr="00A2678F">
        <w:rPr>
          <w:lang w:val="en-US"/>
        </w:rPr>
        <w:t>ers are disc</w:t>
      </w:r>
      <w:r w:rsidR="00FE0DB9">
        <w:rPr>
          <w:lang w:val="en-US"/>
        </w:rPr>
        <w:t>retionary rather than mandatory.</w:t>
      </w:r>
      <w:r w:rsidR="00473363">
        <w:rPr>
          <w:lang w:val="en-US"/>
        </w:rPr>
        <w:t xml:space="preserve"> </w:t>
      </w:r>
      <w:r w:rsidR="00A76A17">
        <w:rPr>
          <w:lang w:val="en-US"/>
        </w:rPr>
        <w:t xml:space="preserve">Legislation does predetermine </w:t>
      </w:r>
      <w:r w:rsidR="00A76A17">
        <w:rPr>
          <w:lang w:val="en-US"/>
        </w:rPr>
        <w:lastRenderedPageBreak/>
        <w:t>how National Lottery revenue is distributed</w:t>
      </w:r>
      <w:r w:rsidR="00E86E2B">
        <w:rPr>
          <w:lang w:val="en-US"/>
        </w:rPr>
        <w:t>,</w:t>
      </w:r>
      <w:r w:rsidR="00A76A17">
        <w:rPr>
          <w:lang w:val="en-US"/>
        </w:rPr>
        <w:t xml:space="preserve"> </w:t>
      </w:r>
      <w:r w:rsidR="00E86E2B">
        <w:rPr>
          <w:lang w:val="en-US"/>
        </w:rPr>
        <w:t>however</w:t>
      </w:r>
      <w:r w:rsidR="00A76A17">
        <w:rPr>
          <w:lang w:val="en-US"/>
        </w:rPr>
        <w:t xml:space="preserve"> the arts come under a category entitled ‘good causes’</w:t>
      </w:r>
      <w:r w:rsidR="00E86E2B">
        <w:rPr>
          <w:lang w:val="en-US"/>
        </w:rPr>
        <w:t xml:space="preserve"> and the percentage received can vary from year to year.</w:t>
      </w:r>
      <w:r w:rsidR="00B01C5D">
        <w:rPr>
          <w:lang w:val="en-US"/>
        </w:rPr>
        <w:t xml:space="preserve"> In 2016-17 for instance, the income for good causes fell by 15% compared to the previous year.</w:t>
      </w:r>
    </w:p>
    <w:p w14:paraId="255DE4AE" w14:textId="77777777" w:rsidR="000178EE" w:rsidRDefault="000178EE"/>
    <w:p w14:paraId="6A466434" w14:textId="36F9DA50" w:rsidR="00560BCD" w:rsidRPr="006B4614" w:rsidRDefault="00FF1E8A" w:rsidP="006B4614">
      <w:pPr>
        <w:pStyle w:val="Heading2"/>
      </w:pPr>
      <w:bookmarkStart w:id="3" w:name="_Toc503362521"/>
      <w:r w:rsidRPr="00560BCD">
        <w:t>Artists</w:t>
      </w:r>
      <w:r w:rsidR="00874CE8">
        <w:t>’ L</w:t>
      </w:r>
      <w:r w:rsidRPr="00560BCD">
        <w:t>ivelihoods</w:t>
      </w:r>
      <w:bookmarkEnd w:id="3"/>
    </w:p>
    <w:p w14:paraId="2382F92F" w14:textId="42D88588" w:rsidR="00485AF7" w:rsidRDefault="0009107F" w:rsidP="00560BCD">
      <w:r>
        <w:t>Countries that provide</w:t>
      </w:r>
      <w:r w:rsidR="00606F32">
        <w:t xml:space="preserve"> </w:t>
      </w:r>
      <w:r>
        <w:t xml:space="preserve">special social security, </w:t>
      </w:r>
      <w:r w:rsidR="00560BCD">
        <w:t>welfare</w:t>
      </w:r>
      <w:r>
        <w:t xml:space="preserve"> or taxation</w:t>
      </w:r>
      <w:r w:rsidR="00560BCD">
        <w:t xml:space="preserve"> </w:t>
      </w:r>
      <w:r w:rsidR="009D4914">
        <w:t>regi</w:t>
      </w:r>
      <w:r w:rsidR="00D75AE0">
        <w:t>me</w:t>
      </w:r>
      <w:r>
        <w:t xml:space="preserve">s for the cultural sector are few </w:t>
      </w:r>
      <w:r w:rsidR="00107056">
        <w:t>in number</w:t>
      </w:r>
      <w:r>
        <w:t xml:space="preserve">. </w:t>
      </w:r>
      <w:r w:rsidR="00485AF7">
        <w:t xml:space="preserve">In most cases, freelance artists and arts professionals depend on the </w:t>
      </w:r>
      <w:r w:rsidR="007E3A09">
        <w:t>general social security regime which can pose difficulties if</w:t>
      </w:r>
      <w:r w:rsidR="00874CE8">
        <w:t>,</w:t>
      </w:r>
      <w:r w:rsidR="007E3A09">
        <w:t xml:space="preserve"> for instance, they are urged to take up non-artistic work whe</w:t>
      </w:r>
      <w:r w:rsidR="00874CE8">
        <w:t>n claiming unemployment benefits</w:t>
      </w:r>
      <w:r w:rsidR="007E3A09">
        <w:t>.</w:t>
      </w:r>
    </w:p>
    <w:p w14:paraId="3A351982" w14:textId="77777777" w:rsidR="00485AF7" w:rsidRDefault="00485AF7" w:rsidP="00560BCD"/>
    <w:p w14:paraId="0196DC93" w14:textId="7815A102" w:rsidR="00560BCD" w:rsidRDefault="00485AF7" w:rsidP="00560BCD">
      <w:r>
        <w:t>Some</w:t>
      </w:r>
      <w:r w:rsidR="00560BCD">
        <w:t xml:space="preserve"> countries do provide </w:t>
      </w:r>
      <w:r w:rsidR="00560BCD" w:rsidRPr="00F4196C">
        <w:rPr>
          <w:u w:val="single"/>
        </w:rPr>
        <w:t>support for artists in joining the national social security schemes</w:t>
      </w:r>
      <w:r w:rsidR="00560BCD">
        <w:t>. Austria, for example, has set up a fund that grants artists a subsidy for social insurance contributions, with additional support available for artists in social need. Such individual subsidies are also available in Germany, where, additionally, companies that benefit from the work of artists and writers are obligated to pay an artists’ social insurance levy that contributes to the Artists’ Social Insurance Fund for those who are not in full-time employment. An alternative solution has been found in Finland, where self-employed and freelance artists and cultural workers may join the pension and social security system of agricultural entrepreneurs</w:t>
      </w:r>
      <w:r w:rsidR="006731BF">
        <w:t>, in the absence of a sector-specific scheme</w:t>
      </w:r>
      <w:r w:rsidR="00560BCD">
        <w:t xml:space="preserve">. </w:t>
      </w:r>
      <w:r w:rsidR="00403AAC">
        <w:t>This pra</w:t>
      </w:r>
      <w:r w:rsidR="0029457F">
        <w:t>ctice was introduced in 2009 as</w:t>
      </w:r>
      <w:r w:rsidR="00403AAC">
        <w:t xml:space="preserve"> national</w:t>
      </w:r>
      <w:r w:rsidR="00403AAC" w:rsidRPr="00403AAC">
        <w:t xml:space="preserve"> social security protection </w:t>
      </w:r>
      <w:r w:rsidR="00403AAC">
        <w:t>offers limited support for</w:t>
      </w:r>
      <w:r w:rsidR="00403AAC" w:rsidRPr="00403AAC">
        <w:t xml:space="preserve"> self-employed</w:t>
      </w:r>
      <w:r w:rsidR="00403AAC">
        <w:t xml:space="preserve"> arts professionals</w:t>
      </w:r>
      <w:r w:rsidR="00403AAC" w:rsidRPr="00403AAC">
        <w:t>.</w:t>
      </w:r>
    </w:p>
    <w:p w14:paraId="1398B664" w14:textId="77777777" w:rsidR="00560BCD" w:rsidRDefault="00560BCD" w:rsidP="00560BCD"/>
    <w:p w14:paraId="6499DCA4" w14:textId="1D510AB1" w:rsidR="00560BCD" w:rsidRDefault="00560BCD" w:rsidP="00874CE8">
      <w:r>
        <w:t xml:space="preserve">A number of </w:t>
      </w:r>
      <w:r w:rsidRPr="00C40D2A">
        <w:rPr>
          <w:u w:val="single"/>
        </w:rPr>
        <w:t>tax relief initiatives</w:t>
      </w:r>
      <w:r>
        <w:t xml:space="preserve"> for artists are also available. In Austria and Denmark, it is possible to spread artistic income over a number of years for the purposes of taxation, to account for the fluctuation in artists’ revenues. In </w:t>
      </w:r>
      <w:proofErr w:type="gramStart"/>
      <w:r>
        <w:t>Canada</w:t>
      </w:r>
      <w:proofErr w:type="gramEnd"/>
      <w:r>
        <w:t xml:space="preserve"> a number of tax deductions are available for self-employed artists, </w:t>
      </w:r>
      <w:r w:rsidR="0053362A">
        <w:t>such as travel and work space expenses, professional membership fees and promotional costs. I</w:t>
      </w:r>
      <w:r>
        <w:t xml:space="preserve">n </w:t>
      </w:r>
      <w:proofErr w:type="gramStart"/>
      <w:r>
        <w:t>Belgium</w:t>
      </w:r>
      <w:proofErr w:type="gramEnd"/>
      <w:r>
        <w:t xml:space="preserve"> a ‘small fees scheme’ ensures that small payments received by artists are tax exempt. Awards and grants are also tax exempt in a </w:t>
      </w:r>
      <w:r w:rsidR="00874CE8">
        <w:t>number of countries, although not in the UK where the Inland Revenue has ruled that grants and awards to artists are taxable.</w:t>
      </w:r>
    </w:p>
    <w:p w14:paraId="761EB3D0" w14:textId="77777777" w:rsidR="00874CE8" w:rsidRDefault="00874CE8" w:rsidP="00560BCD"/>
    <w:p w14:paraId="1BD1E417" w14:textId="1B2D9B1D" w:rsidR="00560BCD" w:rsidRDefault="00874CE8" w:rsidP="00560BCD">
      <w:r>
        <w:t xml:space="preserve">With respect to guaranteed </w:t>
      </w:r>
      <w:r w:rsidRPr="00874CE8">
        <w:rPr>
          <w:u w:val="single"/>
        </w:rPr>
        <w:t>income for artists</w:t>
      </w:r>
      <w:r>
        <w:t>, t</w:t>
      </w:r>
      <w:r w:rsidR="00560BCD">
        <w:t xml:space="preserve">he Nordic countries </w:t>
      </w:r>
      <w:r>
        <w:t>have reputedly been seen as leading the way. However</w:t>
      </w:r>
      <w:r w:rsidR="00560BCD">
        <w:t xml:space="preserve">, a lifetime salary scheme is not the norm in any of the Nordic countries and has been recently discontinued in Norway. </w:t>
      </w:r>
      <w:r w:rsidR="00560BCD" w:rsidRPr="00874CE8">
        <w:t>Long-term grants</w:t>
      </w:r>
      <w:r w:rsidR="00560BCD">
        <w:t xml:space="preserve"> are more common, in general </w:t>
      </w:r>
      <w:r w:rsidR="00B0028B">
        <w:t xml:space="preserve">for </w:t>
      </w:r>
      <w:r w:rsidR="00560BCD">
        <w:t xml:space="preserve">up to 5 years, although in Finland these can be up to 10 years for of artists of high merit. </w:t>
      </w:r>
      <w:r w:rsidR="00560BCD" w:rsidRPr="00874CE8">
        <w:t>Exhibition payment rights</w:t>
      </w:r>
      <w:r w:rsidR="00560BCD">
        <w:t xml:space="preserve"> schemes are also in operation in a number of countries. In Canada, CARFAC, the professional association for visual artists, provides a minimum fee calculator to ensure that artists are correctly remunerated for a variety of activities. In Sweden, </w:t>
      </w:r>
      <w:r w:rsidR="0053362A">
        <w:t xml:space="preserve">the MU agreement is </w:t>
      </w:r>
      <w:r w:rsidR="00560BCD">
        <w:t>a</w:t>
      </w:r>
      <w:r w:rsidR="00560BCD" w:rsidRPr="00C44C93">
        <w:t xml:space="preserve"> government statute </w:t>
      </w:r>
      <w:r w:rsidR="0053362A">
        <w:t xml:space="preserve">that </w:t>
      </w:r>
      <w:r w:rsidR="00560BCD" w:rsidRPr="00C44C93">
        <w:t>requires the state to pay individual compensation for public exposition of works of visual and applied art.</w:t>
      </w:r>
      <w:r w:rsidR="00560BCD">
        <w:t xml:space="preserve"> The European Artists’ Rights (EAR) is a collaborative project established to explore how visual artists are remunerated for their work, benchmarking findings against Sweden’s MU agreement. Members include representatives of artists’ unions from a number of European countries, such as Scotland, Iceland or Norway.</w:t>
      </w:r>
      <w:r w:rsidR="001D3A3F">
        <w:t xml:space="preserve"> An alternative for supplementing </w:t>
      </w:r>
      <w:r w:rsidR="0082182D">
        <w:t xml:space="preserve">artistic income was found in Belgium, although it is currently no longer available. The </w:t>
      </w:r>
      <w:r w:rsidR="001D3A3F">
        <w:t xml:space="preserve">initiative </w:t>
      </w:r>
      <w:r w:rsidR="001D3A3F" w:rsidRPr="001D3A3F">
        <w:lastRenderedPageBreak/>
        <w:t>provided loans for professional artists in the context of selected projects.</w:t>
      </w:r>
      <w:r w:rsidR="0082182D">
        <w:t xml:space="preserve"> T</w:t>
      </w:r>
      <w:r w:rsidR="001D3A3F" w:rsidRPr="001D3A3F">
        <w:t xml:space="preserve">he received microcredit </w:t>
      </w:r>
      <w:r w:rsidR="0082182D">
        <w:t xml:space="preserve">would be </w:t>
      </w:r>
      <w:r w:rsidR="0053362A">
        <w:t xml:space="preserve">paid </w:t>
      </w:r>
      <w:r w:rsidR="001D3A3F" w:rsidRPr="001D3A3F">
        <w:t>back over a period of up to 4 years within an agreed schedule</w:t>
      </w:r>
      <w:r w:rsidR="0082182D">
        <w:t>.</w:t>
      </w:r>
      <w:r w:rsidR="001D3A3F">
        <w:t xml:space="preserve">  </w:t>
      </w:r>
    </w:p>
    <w:p w14:paraId="047C6DA2" w14:textId="77777777" w:rsidR="0035663E" w:rsidRDefault="0035663E" w:rsidP="00560BCD"/>
    <w:p w14:paraId="64E0612D" w14:textId="230F63B6" w:rsidR="0035663E" w:rsidRPr="0053362A" w:rsidRDefault="0035663E" w:rsidP="0035663E">
      <w:r>
        <w:t xml:space="preserve">Resources that are non-monetary can be equally important, especially as many artists do not benefit from the helpful infrastructure provided by an employer. </w:t>
      </w:r>
      <w:r w:rsidR="00874CE8">
        <w:t xml:space="preserve">Ease of </w:t>
      </w:r>
      <w:r w:rsidR="00874CE8" w:rsidRPr="008764B3">
        <w:rPr>
          <w:u w:val="single"/>
        </w:rPr>
        <w:t>access to information</w:t>
      </w:r>
      <w:r w:rsidR="00874CE8">
        <w:t xml:space="preserve"> can assist artists in better managing their career and available opportunities. Austria for example provides a number of centralised guides and handbooks, from advice for foreign artists and organisations to support in accessing EU cultural funding. In France, t</w:t>
      </w:r>
      <w:r w:rsidR="00874CE8" w:rsidRPr="008764B3">
        <w:t xml:space="preserve">he Centre national des arts </w:t>
      </w:r>
      <w:proofErr w:type="spellStart"/>
      <w:r w:rsidR="00874CE8" w:rsidRPr="008764B3">
        <w:t>plastiques</w:t>
      </w:r>
      <w:proofErr w:type="spellEnd"/>
      <w:r w:rsidR="00874CE8" w:rsidRPr="008764B3">
        <w:t xml:space="preserve"> (National Centre of Visual Arts) lists, in specia</w:t>
      </w:r>
      <w:r w:rsidR="00874CE8">
        <w:t xml:space="preserve">l guides available on-line, </w:t>
      </w:r>
      <w:r w:rsidR="00874CE8" w:rsidRPr="008764B3">
        <w:t>private and public</w:t>
      </w:r>
      <w:r w:rsidR="00874CE8">
        <w:t xml:space="preserve"> aids in favour of artists as well as </w:t>
      </w:r>
      <w:r w:rsidR="00874CE8" w:rsidRPr="008764B3">
        <w:t>residences for artists, curators, art critics, art theorists and historians</w:t>
      </w:r>
      <w:r w:rsidR="00874CE8">
        <w:t>.</w:t>
      </w:r>
      <w:r w:rsidR="00FC57FB">
        <w:t xml:space="preserve"> </w:t>
      </w:r>
      <w:r>
        <w:t xml:space="preserve">As well as information, artists can benefit from </w:t>
      </w:r>
      <w:r w:rsidRPr="00BE4C1C">
        <w:rPr>
          <w:u w:val="single"/>
        </w:rPr>
        <w:t>administrative and advisory support or skills development</w:t>
      </w:r>
      <w:r>
        <w:t xml:space="preserve">. Several countries in Europe </w:t>
      </w:r>
      <w:r w:rsidRPr="0053362A">
        <w:t xml:space="preserve">are part of the </w:t>
      </w:r>
      <w:proofErr w:type="spellStart"/>
      <w:r w:rsidRPr="0053362A">
        <w:t>SMartAT</w:t>
      </w:r>
      <w:proofErr w:type="spellEnd"/>
      <w:r w:rsidRPr="0053362A">
        <w:t xml:space="preserve"> (</w:t>
      </w:r>
      <w:proofErr w:type="spellStart"/>
      <w:r w:rsidRPr="0053362A">
        <w:t>Sociéte</w:t>
      </w:r>
      <w:proofErr w:type="spellEnd"/>
      <w:r w:rsidRPr="0053362A">
        <w:t xml:space="preserve">́ </w:t>
      </w:r>
      <w:proofErr w:type="spellStart"/>
      <w:r w:rsidRPr="0053362A">
        <w:t>Mutuelle</w:t>
      </w:r>
      <w:proofErr w:type="spellEnd"/>
      <w:r w:rsidRPr="0053362A">
        <w:t xml:space="preserve"> Pour Artists) network, a non-profit organisation that takes over administrative tasks for artists and creative workers with the aim of achieving improved framework conditions and minimising risks. In the USA, the National Arts Marketing Project attempts to offer artists the skills to effectively market their work and engage audiences, while the city of Seattle has a leadership development scheme for artists and art professionals. In Europe, the Crowdfunding4Culture hub is aimed at cultural and creative professionals who wish to learn more about this practice. </w:t>
      </w:r>
    </w:p>
    <w:p w14:paraId="0EFCEE11" w14:textId="77777777" w:rsidR="0035663E" w:rsidRDefault="0035663E" w:rsidP="0035663E"/>
    <w:p w14:paraId="6CF38000" w14:textId="4CEEE709" w:rsidR="0035663E" w:rsidRDefault="0035663E" w:rsidP="00874CE8">
      <w:r>
        <w:t xml:space="preserve">A wish for more </w:t>
      </w:r>
      <w:r w:rsidRPr="00F553B6">
        <w:rPr>
          <w:u w:val="single"/>
        </w:rPr>
        <w:t>inter-disciplinary opportunities and work spaces</w:t>
      </w:r>
      <w:r>
        <w:t xml:space="preserve"> is also evident among SCAN members. Institutions such as the Banff Centre for Arts and Creativity in Canada or the Danish Arts Workshops were named in the VAR data. The Banff Centre offers residencies in all artistic fields, encouraging practitioners to collaborate and network, with the inter-disciplinary aspect being particularly important. The Danish Arts Workshops, under the umbrella of the Danish Ministry of Culture, provide a wide variety of working facilities for arts practitioners, as well as guidance in using the equipment and materials from trained professionals. </w:t>
      </w:r>
      <w:r w:rsidR="004561D2">
        <w:t>In the Netherlands, s</w:t>
      </w:r>
      <w:r w:rsidR="004561D2" w:rsidRPr="004561D2">
        <w:t>everal post-academic institutes for research and production in the fields of fine art, design and art theory offer opportunities for artists, such as funded residencies with</w:t>
      </w:r>
      <w:r w:rsidR="004561D2">
        <w:t>in academic-type environments.</w:t>
      </w:r>
      <w:r w:rsidR="004561D2" w:rsidRPr="004561D2">
        <w:t xml:space="preserve"> Exam</w:t>
      </w:r>
      <w:r w:rsidR="00AA75E6">
        <w:t>p</w:t>
      </w:r>
      <w:r w:rsidR="004561D2" w:rsidRPr="004561D2">
        <w:t xml:space="preserve">les include De Ateliers, </w:t>
      </w:r>
      <w:proofErr w:type="spellStart"/>
      <w:r w:rsidR="004561D2" w:rsidRPr="004561D2">
        <w:t>Rijksacademie</w:t>
      </w:r>
      <w:proofErr w:type="spellEnd"/>
      <w:r w:rsidR="004561D2" w:rsidRPr="004561D2">
        <w:t xml:space="preserve"> and Jan </w:t>
      </w:r>
      <w:proofErr w:type="gramStart"/>
      <w:r w:rsidR="004561D2" w:rsidRPr="004561D2">
        <w:t>Van</w:t>
      </w:r>
      <w:proofErr w:type="gramEnd"/>
      <w:r w:rsidR="004561D2" w:rsidRPr="004561D2">
        <w:t xml:space="preserve"> Eyck </w:t>
      </w:r>
      <w:proofErr w:type="spellStart"/>
      <w:r w:rsidR="004561D2" w:rsidRPr="004561D2">
        <w:t>Academie</w:t>
      </w:r>
      <w:proofErr w:type="spellEnd"/>
      <w:r w:rsidR="004561D2" w:rsidRPr="004561D2">
        <w:t xml:space="preserve">. The </w:t>
      </w:r>
      <w:proofErr w:type="spellStart"/>
      <w:r w:rsidR="004561D2" w:rsidRPr="004561D2">
        <w:t>Rijksacademie</w:t>
      </w:r>
      <w:proofErr w:type="spellEnd"/>
      <w:r w:rsidR="004561D2" w:rsidRPr="004561D2">
        <w:t xml:space="preserve"> for example has more than fifty studios available for residencies.</w:t>
      </w:r>
    </w:p>
    <w:p w14:paraId="7AC19D3F" w14:textId="77777777" w:rsidR="00C347D7" w:rsidRDefault="00C347D7" w:rsidP="0035663E">
      <w:pPr>
        <w:rPr>
          <w:lang w:val="en-US"/>
        </w:rPr>
      </w:pPr>
    </w:p>
    <w:p w14:paraId="515BA880" w14:textId="1747D7C4" w:rsidR="00251D2E" w:rsidRPr="00251D2E" w:rsidRDefault="00251D2E" w:rsidP="00251D2E">
      <w:pPr>
        <w:rPr>
          <w:lang w:val="en-US"/>
        </w:rPr>
      </w:pPr>
      <w:r w:rsidRPr="00251D2E">
        <w:rPr>
          <w:u w:val="double"/>
          <w:lang w:val="en-US"/>
        </w:rPr>
        <w:t>In the UK</w:t>
      </w:r>
      <w:r>
        <w:rPr>
          <w:lang w:val="en-US"/>
        </w:rPr>
        <w:t>, t</w:t>
      </w:r>
      <w:r w:rsidRPr="00251D2E">
        <w:rPr>
          <w:lang w:val="en-US"/>
        </w:rPr>
        <w:t xml:space="preserve">here are no specific social security measures governing the cultural sector. </w:t>
      </w:r>
      <w:r>
        <w:rPr>
          <w:lang w:val="en-US"/>
        </w:rPr>
        <w:t>S</w:t>
      </w:r>
      <w:r w:rsidRPr="00251D2E">
        <w:rPr>
          <w:lang w:val="en-US"/>
        </w:rPr>
        <w:t>upport for artists differs markedly from, for example, the social welfare approach of Nordic countries. Support primarily comes through the Arts Council system or agencies such as the Crafts Council in the form of grants, or bursaries and commissions, via support for projects from foundations, or in the form of sponsored prizes</w:t>
      </w:r>
      <w:r>
        <w:rPr>
          <w:lang w:val="en-US"/>
        </w:rPr>
        <w:t xml:space="preserve">, however </w:t>
      </w:r>
      <w:r w:rsidR="0053362A">
        <w:rPr>
          <w:lang w:val="en-US"/>
        </w:rPr>
        <w:t xml:space="preserve">the </w:t>
      </w:r>
      <w:r w:rsidRPr="00251D2E">
        <w:rPr>
          <w:lang w:val="en-US"/>
        </w:rPr>
        <w:t xml:space="preserve">Inland Revenue has ruled that </w:t>
      </w:r>
      <w:r>
        <w:rPr>
          <w:lang w:val="en-US"/>
        </w:rPr>
        <w:t xml:space="preserve">many </w:t>
      </w:r>
      <w:r w:rsidRPr="00251D2E">
        <w:rPr>
          <w:lang w:val="en-US"/>
        </w:rPr>
        <w:t xml:space="preserve">grants and awards to artists are taxable. </w:t>
      </w:r>
      <w:r>
        <w:rPr>
          <w:lang w:val="en-US"/>
        </w:rPr>
        <w:t xml:space="preserve">Freelancing </w:t>
      </w:r>
      <w:r w:rsidR="0053362A">
        <w:rPr>
          <w:lang w:val="en-US"/>
        </w:rPr>
        <w:t>artists</w:t>
      </w:r>
      <w:r w:rsidRPr="00251D2E">
        <w:rPr>
          <w:lang w:val="en-US"/>
        </w:rPr>
        <w:t xml:space="preserve"> </w:t>
      </w:r>
      <w:r w:rsidR="00CB5C51">
        <w:rPr>
          <w:lang w:val="en-US"/>
        </w:rPr>
        <w:t>are also permitted</w:t>
      </w:r>
      <w:r w:rsidR="00CB5C51" w:rsidRPr="004437F5">
        <w:rPr>
          <w:lang w:val="en-US"/>
        </w:rPr>
        <w:t xml:space="preserve"> to average </w:t>
      </w:r>
      <w:r w:rsidR="00CB5C51">
        <w:rPr>
          <w:lang w:val="en-US"/>
        </w:rPr>
        <w:t>their profits for two</w:t>
      </w:r>
      <w:r w:rsidR="00CB5C51" w:rsidRPr="004437F5">
        <w:rPr>
          <w:lang w:val="en-US"/>
        </w:rPr>
        <w:t xml:space="preserve"> successive years</w:t>
      </w:r>
      <w:r w:rsidR="00CB5C51">
        <w:rPr>
          <w:lang w:val="en-US"/>
        </w:rPr>
        <w:t xml:space="preserve"> in case of significant fluctuation, to help reduce the overall tax bill</w:t>
      </w:r>
      <w:r w:rsidRPr="00251D2E">
        <w:rPr>
          <w:lang w:val="en-US"/>
        </w:rPr>
        <w:t xml:space="preserve">. Insurance costs can </w:t>
      </w:r>
      <w:r>
        <w:rPr>
          <w:lang w:val="en-US"/>
        </w:rPr>
        <w:t xml:space="preserve">also </w:t>
      </w:r>
      <w:r w:rsidRPr="00251D2E">
        <w:rPr>
          <w:lang w:val="en-US"/>
        </w:rPr>
        <w:t xml:space="preserve">become a burden on visual artists. Many studio complexes will not insure the personal or creative contents of each individual studio, </w:t>
      </w:r>
      <w:r>
        <w:rPr>
          <w:lang w:val="en-US"/>
        </w:rPr>
        <w:t xml:space="preserve">and </w:t>
      </w:r>
      <w:r w:rsidRPr="00251D2E">
        <w:rPr>
          <w:lang w:val="en-US"/>
        </w:rPr>
        <w:t>artists often find they have to take out their own exhibition insurance where owners or administrators of premises do not.</w:t>
      </w:r>
      <w:r>
        <w:rPr>
          <w:lang w:val="en-US"/>
        </w:rPr>
        <w:t xml:space="preserve"> </w:t>
      </w:r>
      <w:r w:rsidR="0053362A">
        <w:t xml:space="preserve">Artist organisations such as a-n and the Scottish Artists Union offer insurance packages as part of their membership offers. </w:t>
      </w:r>
      <w:r w:rsidRPr="00251D2E">
        <w:rPr>
          <w:lang w:val="en-US"/>
        </w:rPr>
        <w:t xml:space="preserve">In 1980 there was a voluntary Exhibition Payment Right (EPR) scheme in England and Wales, which </w:t>
      </w:r>
      <w:r w:rsidRPr="00251D2E">
        <w:rPr>
          <w:lang w:val="en-US"/>
        </w:rPr>
        <w:lastRenderedPageBreak/>
        <w:t>remunerated artists for the exhibition of their work in public galleries, howe</w:t>
      </w:r>
      <w:r w:rsidR="002B01CD">
        <w:rPr>
          <w:lang w:val="en-US"/>
        </w:rPr>
        <w:t>ve</w:t>
      </w:r>
      <w:r w:rsidRPr="00251D2E">
        <w:rPr>
          <w:lang w:val="en-US"/>
        </w:rPr>
        <w:t xml:space="preserve">r by the late 1990s this had </w:t>
      </w:r>
      <w:r w:rsidR="002B01CD" w:rsidRPr="00251D2E">
        <w:rPr>
          <w:lang w:val="en-US"/>
        </w:rPr>
        <w:t>disappeared</w:t>
      </w:r>
      <w:r w:rsidRPr="00251D2E">
        <w:rPr>
          <w:lang w:val="en-US"/>
        </w:rPr>
        <w:t>.</w:t>
      </w:r>
      <w:r w:rsidR="0053362A">
        <w:rPr>
          <w:lang w:val="en-US"/>
        </w:rPr>
        <w:t xml:space="preserve"> </w:t>
      </w:r>
      <w:r w:rsidR="0053362A">
        <w:t xml:space="preserve">The Scottish Artists Union has been campaigning on fair payment for many years and in 2017 a-n concluded the first phase of their Paying Artists Campaign and launched a new suggested payment structure and guidance. The main UK art councils have supported the recommendations. </w:t>
      </w:r>
      <w:r w:rsidR="003C13D3">
        <w:rPr>
          <w:lang w:val="en-US"/>
        </w:rPr>
        <w:t>Additional income sometimes comes from</w:t>
      </w:r>
      <w:r w:rsidR="003C13D3" w:rsidRPr="003C13D3">
        <w:rPr>
          <w:lang w:val="en-US"/>
        </w:rPr>
        <w:t xml:space="preserve"> DACS, </w:t>
      </w:r>
      <w:r w:rsidR="003C13D3">
        <w:rPr>
          <w:lang w:val="en-US"/>
        </w:rPr>
        <w:t xml:space="preserve">which </w:t>
      </w:r>
      <w:r w:rsidR="003C13D3" w:rsidRPr="003C13D3">
        <w:rPr>
          <w:lang w:val="en-US"/>
        </w:rPr>
        <w:t>collects and distribute</w:t>
      </w:r>
      <w:r w:rsidR="003C13D3">
        <w:rPr>
          <w:lang w:val="en-US"/>
        </w:rPr>
        <w:t>s</w:t>
      </w:r>
      <w:r w:rsidR="003C13D3" w:rsidRPr="003C13D3">
        <w:rPr>
          <w:lang w:val="en-US"/>
        </w:rPr>
        <w:t xml:space="preserve"> royalties to visual artists and their estates through Payback, Artist's Resale Right, Copyright Licensing and </w:t>
      </w:r>
      <w:proofErr w:type="spellStart"/>
      <w:r w:rsidR="003C13D3" w:rsidRPr="003C13D3">
        <w:rPr>
          <w:lang w:val="en-US"/>
        </w:rPr>
        <w:t>Artimage</w:t>
      </w:r>
      <w:proofErr w:type="spellEnd"/>
      <w:r w:rsidR="003C13D3" w:rsidRPr="003C13D3">
        <w:rPr>
          <w:lang w:val="en-US"/>
        </w:rPr>
        <w:t>.</w:t>
      </w:r>
    </w:p>
    <w:p w14:paraId="445C0E3E" w14:textId="77777777" w:rsidR="00251D2E" w:rsidRPr="00251D2E" w:rsidRDefault="00251D2E" w:rsidP="00251D2E">
      <w:pPr>
        <w:rPr>
          <w:lang w:val="en-US"/>
        </w:rPr>
      </w:pPr>
    </w:p>
    <w:p w14:paraId="7B919B8C" w14:textId="77777777" w:rsidR="00251D2E" w:rsidRDefault="00251D2E" w:rsidP="0035663E">
      <w:pPr>
        <w:rPr>
          <w:lang w:val="en-US"/>
        </w:rPr>
      </w:pPr>
    </w:p>
    <w:p w14:paraId="799D7A91" w14:textId="4E134C0D" w:rsidR="00874CE8" w:rsidRPr="006B4614" w:rsidRDefault="009D7617" w:rsidP="00560BCD">
      <w:pPr>
        <w:pStyle w:val="Heading2"/>
        <w:rPr>
          <w:u w:val="single"/>
        </w:rPr>
      </w:pPr>
      <w:bookmarkStart w:id="4" w:name="_Toc503362522"/>
      <w:r>
        <w:t>Distribution of State F</w:t>
      </w:r>
      <w:r w:rsidR="00FF1E8A" w:rsidRPr="00874CE8">
        <w:t>unds</w:t>
      </w:r>
      <w:bookmarkEnd w:id="4"/>
    </w:p>
    <w:p w14:paraId="28571DCF" w14:textId="20847D67" w:rsidR="0025019D" w:rsidRPr="0025019D" w:rsidRDefault="0025019D" w:rsidP="0025019D">
      <w:r>
        <w:t xml:space="preserve">In many of the countries included in the study, funding for the visual arts is dispensed according to the </w:t>
      </w:r>
      <w:r w:rsidRPr="0025019D">
        <w:rPr>
          <w:u w:val="single"/>
        </w:rPr>
        <w:t>‘arm’s length’ principle</w:t>
      </w:r>
      <w:r w:rsidRPr="0025019D">
        <w:t xml:space="preserve"> via a cultural body or foundation </w:t>
      </w:r>
      <w:r>
        <w:t xml:space="preserve">that is independent from governmental involvement. A basic principle of the Dutch government for example is to remain neutral in assessing arts issues and to focus on policy only, so they support the visual arts </w:t>
      </w:r>
      <w:r w:rsidR="00BF587B">
        <w:t xml:space="preserve">and cultural heritage </w:t>
      </w:r>
      <w:r>
        <w:t xml:space="preserve">through the </w:t>
      </w:r>
      <w:proofErr w:type="spellStart"/>
      <w:r>
        <w:t>Mondriaan</w:t>
      </w:r>
      <w:proofErr w:type="spellEnd"/>
      <w:r>
        <w:t xml:space="preserve"> Fund</w:t>
      </w:r>
      <w:r w:rsidR="00BF587B">
        <w:t xml:space="preserve"> which acts independently</w:t>
      </w:r>
      <w:r>
        <w:t xml:space="preserve">. </w:t>
      </w:r>
      <w:r w:rsidRPr="0025019D">
        <w:t>The fund aims to encourage innovation and excellence in these fields by supporting outstanding artists, cultural heritage and art organisations and projects, both in the Netherlands and abroad.</w:t>
      </w:r>
      <w:r w:rsidR="00BF587B">
        <w:t xml:space="preserve"> As well as managing a wide variety of funding schemes, the </w:t>
      </w:r>
      <w:proofErr w:type="spellStart"/>
      <w:r w:rsidR="00BF587B">
        <w:t>Mondriaan</w:t>
      </w:r>
      <w:proofErr w:type="spellEnd"/>
      <w:r w:rsidR="00BF587B">
        <w:t xml:space="preserve"> Fund can also implement initiatives such as </w:t>
      </w:r>
      <w:r w:rsidR="00BF587B" w:rsidRPr="00BF587B">
        <w:t>the Private Art Buyers Scheme [</w:t>
      </w:r>
      <w:proofErr w:type="spellStart"/>
      <w:r w:rsidR="00BF587B" w:rsidRPr="00BF587B">
        <w:t>KunstKoop</w:t>
      </w:r>
      <w:proofErr w:type="spellEnd"/>
      <w:r w:rsidR="00BF587B">
        <w:t xml:space="preserve">] which aims to </w:t>
      </w:r>
      <w:r w:rsidR="00BF587B" w:rsidRPr="00BF587B">
        <w:t>stimulate the private market for art</w:t>
      </w:r>
      <w:r w:rsidR="00BF587B">
        <w:t>.</w:t>
      </w:r>
      <w:r w:rsidR="00BF587B" w:rsidRPr="00BF587B">
        <w:t xml:space="preserve"> Under this scheme, people can buy art on credit at over a hundred galleries spread across the Netherlands.</w:t>
      </w:r>
      <w:r w:rsidR="00BF587B">
        <w:t xml:space="preserve"> </w:t>
      </w:r>
    </w:p>
    <w:p w14:paraId="3EC861A7" w14:textId="77777777" w:rsidR="0025019D" w:rsidRDefault="0025019D" w:rsidP="00560BCD"/>
    <w:p w14:paraId="4E290DDC" w14:textId="3561F1F6" w:rsidR="0082182D" w:rsidRDefault="0025019D" w:rsidP="00560BCD">
      <w:r>
        <w:t xml:space="preserve">In some </w:t>
      </w:r>
      <w:r w:rsidR="00A91A67">
        <w:t xml:space="preserve">countries, </w:t>
      </w:r>
      <w:r w:rsidR="00BF587B">
        <w:t xml:space="preserve">the </w:t>
      </w:r>
      <w:r w:rsidR="00BF587B" w:rsidRPr="006A1330">
        <w:rPr>
          <w:u w:val="single"/>
        </w:rPr>
        <w:t>regional and local authorities</w:t>
      </w:r>
      <w:r w:rsidR="00BF587B">
        <w:t xml:space="preserve"> </w:t>
      </w:r>
      <w:r w:rsidR="00F12BC7">
        <w:t xml:space="preserve">have a greater degree of </w:t>
      </w:r>
      <w:r w:rsidR="00BF587B" w:rsidRPr="006A1330">
        <w:rPr>
          <w:u w:val="single"/>
        </w:rPr>
        <w:t>autonomy</w:t>
      </w:r>
      <w:r w:rsidR="00F12BC7">
        <w:t xml:space="preserve">. </w:t>
      </w:r>
      <w:r w:rsidR="00E178F9">
        <w:t>This is particularly true for countries that function on a federal model. In Germany, t</w:t>
      </w:r>
      <w:r w:rsidR="00E178F9" w:rsidRPr="00E178F9">
        <w:t>he individual federal states can transfer budgetary resources for culture to the municipalities at their own discretion</w:t>
      </w:r>
      <w:r w:rsidR="00E178F9">
        <w:t>. So, although Germany has several national funding bodies for the arts (</w:t>
      </w:r>
      <w:proofErr w:type="spellStart"/>
      <w:r w:rsidR="00E178F9" w:rsidRPr="00E178F9">
        <w:t>Stiftung</w:t>
      </w:r>
      <w:proofErr w:type="spellEnd"/>
      <w:r w:rsidR="00E178F9" w:rsidRPr="00E178F9">
        <w:t xml:space="preserve"> </w:t>
      </w:r>
      <w:proofErr w:type="spellStart"/>
      <w:r w:rsidR="00E178F9" w:rsidRPr="00E178F9">
        <w:t>Kunstfonds</w:t>
      </w:r>
      <w:proofErr w:type="spellEnd"/>
      <w:r w:rsidR="00E178F9">
        <w:t xml:space="preserve">, </w:t>
      </w:r>
      <w:proofErr w:type="spellStart"/>
      <w:r w:rsidR="00E178F9" w:rsidRPr="00E178F9">
        <w:t>Kulturstiftung</w:t>
      </w:r>
      <w:proofErr w:type="spellEnd"/>
      <w:r w:rsidR="00E178F9" w:rsidRPr="00E178F9">
        <w:t xml:space="preserve"> des </w:t>
      </w:r>
      <w:proofErr w:type="spellStart"/>
      <w:r w:rsidR="00E178F9" w:rsidRPr="00E178F9">
        <w:t>Bundes</w:t>
      </w:r>
      <w:proofErr w:type="spellEnd"/>
      <w:r w:rsidR="00E178F9" w:rsidRPr="00E178F9">
        <w:t>)</w:t>
      </w:r>
      <w:r w:rsidR="00E178F9">
        <w:t xml:space="preserve">, it also had a large number of regional and local initiatives that maintain the vitality of the sector, including individual federal states foundations for art and culture. </w:t>
      </w:r>
      <w:r w:rsidR="006A1330">
        <w:t xml:space="preserve">In Belgium the French, Flemish and German-speaking communities have enjoyed cultural autonomy since the 1970s. Although the federal state has retained responsibility for the main cultural institutions based in Brussels, the </w:t>
      </w:r>
      <w:r w:rsidR="00F61C4E">
        <w:t>three communities each have their own funding bodies and cultural initiatives.</w:t>
      </w:r>
      <w:r w:rsidR="00AC04DF">
        <w:t xml:space="preserve"> For example, the Flemish community </w:t>
      </w:r>
      <w:r w:rsidR="00AC04DF" w:rsidRPr="00AC04DF">
        <w:t xml:space="preserve">purchases works of art for the collection of the Flemish museums of contemporary art and for its own collection. </w:t>
      </w:r>
      <w:r w:rsidR="00FA049F">
        <w:t>In France,</w:t>
      </w:r>
      <w:r w:rsidR="00AD6DBE" w:rsidRPr="00AD6DBE">
        <w:t xml:space="preserve"> in </w:t>
      </w:r>
      <w:r w:rsidR="00FA049F">
        <w:t>the</w:t>
      </w:r>
      <w:r w:rsidR="00AD6DBE" w:rsidRPr="00AD6DBE">
        <w:t xml:space="preserve"> context of budget austerity, </w:t>
      </w:r>
      <w:r w:rsidR="00FA049F">
        <w:t xml:space="preserve">a number of ‘cultural pacts’ </w:t>
      </w:r>
      <w:r w:rsidR="00DC0BCF">
        <w:t>have been</w:t>
      </w:r>
      <w:r w:rsidR="00FA049F">
        <w:t xml:space="preserve"> drawn up, in which the State committed</w:t>
      </w:r>
      <w:r w:rsidR="00AD6DBE" w:rsidRPr="00AD6DBE">
        <w:t xml:space="preserve"> to maintain its level of cultural fina</w:t>
      </w:r>
      <w:r w:rsidR="00FA049F">
        <w:t>ncing to territorial authorities as long as the authorities committed</w:t>
      </w:r>
      <w:r w:rsidR="00AD6DBE" w:rsidRPr="00AD6DBE">
        <w:t xml:space="preserve"> to do the same regarding its own cultural budget.</w:t>
      </w:r>
    </w:p>
    <w:p w14:paraId="7526D835" w14:textId="77777777" w:rsidR="00AC04DF" w:rsidRDefault="00AC04DF" w:rsidP="00560BCD">
      <w:pPr>
        <w:rPr>
          <w:u w:val="single"/>
        </w:rPr>
      </w:pPr>
    </w:p>
    <w:p w14:paraId="3F64738F" w14:textId="1A39BF83" w:rsidR="00F45C6F" w:rsidRPr="00F45C6F" w:rsidRDefault="00F45C6F" w:rsidP="00F45C6F">
      <w:pPr>
        <w:rPr>
          <w:lang w:val="en-US"/>
        </w:rPr>
      </w:pPr>
      <w:r>
        <w:t>To support the visual arts a</w:t>
      </w:r>
      <w:r w:rsidRPr="00F45C6F">
        <w:t xml:space="preserve">t national level, </w:t>
      </w:r>
      <w:r>
        <w:rPr>
          <w:u w:val="single"/>
        </w:rPr>
        <w:t>p</w:t>
      </w:r>
      <w:r w:rsidR="00560BCD" w:rsidRPr="00F45C6F">
        <w:rPr>
          <w:u w:val="single"/>
        </w:rPr>
        <w:t>ercentage for art schemes</w:t>
      </w:r>
      <w:r w:rsidR="00560BCD">
        <w:t xml:space="preserve"> are also </w:t>
      </w:r>
      <w:r w:rsidR="00CB5C51">
        <w:t xml:space="preserve">fairly </w:t>
      </w:r>
      <w:r w:rsidR="00560BCD">
        <w:t>common. They are based on the principle that a certain percentage (usually between 0.5 and 2%) of the total amount spent on the construction, renovation or extension of a public</w:t>
      </w:r>
      <w:r w:rsidR="008161B8">
        <w:t xml:space="preserve"> building must be reserved for</w:t>
      </w:r>
      <w:r w:rsidR="00560BCD">
        <w:t xml:space="preserve"> contemporary artwork</w:t>
      </w:r>
      <w:r w:rsidR="008161B8">
        <w:t>s</w:t>
      </w:r>
      <w:r w:rsidR="00560BCD">
        <w:t xml:space="preserve"> specially conceived for the building in question. </w:t>
      </w:r>
      <w:r>
        <w:t xml:space="preserve">Some countries push the envelope by expanding the remit of the scheme. </w:t>
      </w:r>
      <w:r w:rsidR="00DE456F">
        <w:t>In the Netherlands, a</w:t>
      </w:r>
      <w:r w:rsidR="00DE456F" w:rsidRPr="00DE456F">
        <w:t>s a resu</w:t>
      </w:r>
      <w:r w:rsidR="00DE456F">
        <w:t xml:space="preserve">lt of the percentage scheme the </w:t>
      </w:r>
      <w:r w:rsidR="00DE456F" w:rsidRPr="00DE456F">
        <w:t>Government Buildings Agency</w:t>
      </w:r>
      <w:r w:rsidR="00DE456F">
        <w:t xml:space="preserve"> (</w:t>
      </w:r>
      <w:proofErr w:type="spellStart"/>
      <w:r w:rsidR="00DE456F" w:rsidRPr="00DE456F">
        <w:t>Rijksgebouwendienst</w:t>
      </w:r>
      <w:proofErr w:type="spellEnd"/>
      <w:r w:rsidR="00DE456F" w:rsidRPr="00DE456F">
        <w:t xml:space="preserve">) is the biggest commissioner in the field of the visual arts. More </w:t>
      </w:r>
      <w:r w:rsidR="00DE456F" w:rsidRPr="00DE456F">
        <w:lastRenderedPageBreak/>
        <w:t xml:space="preserve">recently they have included increasing numbers of works of an experimental or conceptual nature, and the scheme has been applied for the first time </w:t>
      </w:r>
      <w:r w:rsidR="00A3769E">
        <w:t>in a large-scale infrastructure</w:t>
      </w:r>
      <w:r w:rsidR="00DE456F" w:rsidRPr="00DE456F">
        <w:t xml:space="preserve"> project</w:t>
      </w:r>
      <w:r>
        <w:t xml:space="preserve">, the </w:t>
      </w:r>
      <w:proofErr w:type="gramStart"/>
      <w:r>
        <w:t>High Speed</w:t>
      </w:r>
      <w:proofErr w:type="gramEnd"/>
      <w:r>
        <w:t xml:space="preserve"> Line South, with photographers being </w:t>
      </w:r>
      <w:r w:rsidRPr="00F45C6F">
        <w:rPr>
          <w:lang w:val="en-US"/>
        </w:rPr>
        <w:t xml:space="preserve">awarding commissions to record the cultural and social consequences of the </w:t>
      </w:r>
      <w:r>
        <w:rPr>
          <w:lang w:val="en-US"/>
        </w:rPr>
        <w:t>new</w:t>
      </w:r>
      <w:r w:rsidRPr="00F45C6F">
        <w:rPr>
          <w:lang w:val="en-US"/>
        </w:rPr>
        <w:t xml:space="preserve"> train line</w:t>
      </w:r>
      <w:r>
        <w:rPr>
          <w:lang w:val="en-US"/>
        </w:rPr>
        <w:t xml:space="preserve">. </w:t>
      </w:r>
      <w:r w:rsidR="00976AB6">
        <w:rPr>
          <w:lang w:val="en-US"/>
        </w:rPr>
        <w:t>In Ireland, t</w:t>
      </w:r>
      <w:r w:rsidR="00976AB6" w:rsidRPr="00976AB6">
        <w:rPr>
          <w:lang w:val="en-US"/>
        </w:rPr>
        <w:t xml:space="preserve">he Per Cent for Art scheme was first introduced in 1978, whereby 1% of the cost of any publicly funded capital, infrastructural and building development can be allocated to the commissioning of a work of art. </w:t>
      </w:r>
      <w:r w:rsidR="00976AB6">
        <w:rPr>
          <w:lang w:val="en-US"/>
        </w:rPr>
        <w:t xml:space="preserve">The </w:t>
      </w:r>
      <w:r w:rsidR="00976AB6" w:rsidRPr="004F1631">
        <w:t>publicart.ie</w:t>
      </w:r>
      <w:r w:rsidR="00976AB6">
        <w:rPr>
          <w:lang w:val="en-US"/>
        </w:rPr>
        <w:t xml:space="preserve"> website </w:t>
      </w:r>
      <w:r w:rsidR="00DF161E" w:rsidRPr="00DF161E">
        <w:rPr>
          <w:lang w:val="en-US"/>
        </w:rPr>
        <w:t xml:space="preserve">carries not only a </w:t>
      </w:r>
      <w:r w:rsidR="00C305F7" w:rsidRPr="00DF161E">
        <w:rPr>
          <w:lang w:val="en-US"/>
        </w:rPr>
        <w:t>directory</w:t>
      </w:r>
      <w:r w:rsidR="00DF161E" w:rsidRPr="00DF161E">
        <w:rPr>
          <w:lang w:val="en-US"/>
        </w:rPr>
        <w:t xml:space="preserve"> of all </w:t>
      </w:r>
      <w:r w:rsidR="00C305F7" w:rsidRPr="00DF161E">
        <w:rPr>
          <w:lang w:val="en-US"/>
        </w:rPr>
        <w:t>commissioned</w:t>
      </w:r>
      <w:r w:rsidR="00DF161E" w:rsidRPr="00DF161E">
        <w:rPr>
          <w:lang w:val="en-US"/>
        </w:rPr>
        <w:t xml:space="preserve"> artworks, but also all the latest news and opportunities for artists, video interviews with artists and commissioners, and reading material on all things from how to commission an artist, through to excerpts from the latest art</w:t>
      </w:r>
      <w:r w:rsidR="00C305F7">
        <w:rPr>
          <w:lang w:val="en-US"/>
        </w:rPr>
        <w:t xml:space="preserve"> </w:t>
      </w:r>
      <w:r w:rsidR="00DF161E" w:rsidRPr="00DF161E">
        <w:rPr>
          <w:lang w:val="en-US"/>
        </w:rPr>
        <w:t>world publications and discourses.</w:t>
      </w:r>
    </w:p>
    <w:p w14:paraId="22EC790D" w14:textId="77777777" w:rsidR="002D6A46" w:rsidRDefault="002D6A46" w:rsidP="00560BCD"/>
    <w:p w14:paraId="007E14E6" w14:textId="3474B85E" w:rsidR="00560BCD" w:rsidRDefault="00560BCD" w:rsidP="00560BCD">
      <w:r>
        <w:t xml:space="preserve">In addition to this, </w:t>
      </w:r>
      <w:r w:rsidR="00D96006">
        <w:t xml:space="preserve">countries also invest in their own </w:t>
      </w:r>
      <w:r w:rsidR="00D96006" w:rsidRPr="00D96006">
        <w:rPr>
          <w:u w:val="single"/>
        </w:rPr>
        <w:t>national collection of contemporary</w:t>
      </w:r>
      <w:r w:rsidR="00D96006">
        <w:rPr>
          <w:u w:val="single"/>
        </w:rPr>
        <w:t xml:space="preserve"> art</w:t>
      </w:r>
      <w:r w:rsidR="00D96006">
        <w:t xml:space="preserve">. </w:t>
      </w:r>
      <w:r w:rsidR="000D1A64">
        <w:t xml:space="preserve">In Austria, the </w:t>
      </w:r>
      <w:r w:rsidR="000D1A64" w:rsidRPr="000D1A64">
        <w:t xml:space="preserve">government purchases </w:t>
      </w:r>
      <w:proofErr w:type="gramStart"/>
      <w:r w:rsidR="000D1A64" w:rsidRPr="000D1A64">
        <w:t>works</w:t>
      </w:r>
      <w:proofErr w:type="gramEnd"/>
      <w:r w:rsidR="000D1A64" w:rsidRPr="000D1A64">
        <w:t xml:space="preserve"> by contemporary fine artists as a support measure. Purchased works are administered by the federal </w:t>
      </w:r>
      <w:proofErr w:type="spellStart"/>
      <w:r w:rsidR="000D1A64" w:rsidRPr="000D1A64">
        <w:t>Artothek</w:t>
      </w:r>
      <w:proofErr w:type="spellEnd"/>
      <w:r w:rsidR="000D1A64" w:rsidRPr="000D1A64">
        <w:t xml:space="preserve"> and made available to federal offices</w:t>
      </w:r>
      <w:r w:rsidR="000D1A64">
        <w:t xml:space="preserve"> and other public institutions, or </w:t>
      </w:r>
      <w:r w:rsidR="000D1A64" w:rsidRPr="000D1A64">
        <w:t xml:space="preserve">loaned out to exhibitions. Since 1981, photographic works have also been included in the purchases, giving rise to the most important national photographic collection in Austria. </w:t>
      </w:r>
      <w:r w:rsidR="000D1A64">
        <w:t xml:space="preserve">In </w:t>
      </w:r>
      <w:r>
        <w:t xml:space="preserve">France </w:t>
      </w:r>
      <w:r w:rsidR="000D1A64">
        <w:t>s</w:t>
      </w:r>
      <w:r>
        <w:t xml:space="preserve">chemes </w:t>
      </w:r>
      <w:r w:rsidR="000D1A64">
        <w:t xml:space="preserve">exist </w:t>
      </w:r>
      <w:r>
        <w:t>at both national and regional level to fund</w:t>
      </w:r>
      <w:r w:rsidRPr="002921B1">
        <w:t xml:space="preserve"> the acquisition, distribution and conservation of contemporary </w:t>
      </w:r>
      <w:r>
        <w:t>art</w:t>
      </w:r>
      <w:r w:rsidRPr="002921B1">
        <w:t>works</w:t>
      </w:r>
      <w:r>
        <w:t xml:space="preserve">. </w:t>
      </w:r>
      <w:r w:rsidR="00D2321F">
        <w:t xml:space="preserve">Since their creation </w:t>
      </w:r>
      <w:r w:rsidR="00D2321F" w:rsidRPr="00D2321F">
        <w:t xml:space="preserve">in the 1980s within the context of devolution policies, </w:t>
      </w:r>
      <w:r w:rsidR="00D2321F">
        <w:t>t</w:t>
      </w:r>
      <w:r w:rsidR="00D2321F" w:rsidRPr="00D2321F">
        <w:t xml:space="preserve">he Regional Funds for Contemporary </w:t>
      </w:r>
      <w:r w:rsidR="00D2321F">
        <w:t xml:space="preserve">Art (FRAC) </w:t>
      </w:r>
      <w:r w:rsidR="00D2321F" w:rsidRPr="00D2321F">
        <w:t xml:space="preserve">are now present in almost all French regions. Intended for the purchase of contemporary art works, these funds ensure regular publishing activity and educational initiatives and affirm the role of local and regional authorities in the field of contemporary art. </w:t>
      </w:r>
      <w:r w:rsidR="00D2321F">
        <w:t>They</w:t>
      </w:r>
      <w:r w:rsidR="00D2321F" w:rsidRPr="00D2321F">
        <w:t xml:space="preserve"> also cooperate on inter-regional projects within the association Platform.</w:t>
      </w:r>
      <w:r w:rsidR="00823865">
        <w:t xml:space="preserve"> </w:t>
      </w:r>
    </w:p>
    <w:p w14:paraId="7FF47206" w14:textId="77777777" w:rsidR="00560BCD" w:rsidRDefault="00560BCD" w:rsidP="00560BCD">
      <w:pPr>
        <w:ind w:left="360"/>
      </w:pPr>
    </w:p>
    <w:p w14:paraId="138A51E1" w14:textId="431274A0" w:rsidR="00CF521A" w:rsidRDefault="00435040">
      <w:pPr>
        <w:rPr>
          <w:lang w:val="en-US"/>
        </w:rPr>
      </w:pPr>
      <w:r>
        <w:t xml:space="preserve">With the </w:t>
      </w:r>
      <w:r w:rsidR="003D0ECB">
        <w:t xml:space="preserve">decrease in available public funding, </w:t>
      </w:r>
      <w:r w:rsidR="00560BCD" w:rsidRPr="00560BCD">
        <w:rPr>
          <w:u w:val="single"/>
        </w:rPr>
        <w:t>sponsorship-building initiatives</w:t>
      </w:r>
      <w:r w:rsidR="00560BCD">
        <w:t xml:space="preserve"> </w:t>
      </w:r>
      <w:r w:rsidR="003D0ECB">
        <w:t>have also been implemented</w:t>
      </w:r>
      <w:r w:rsidR="00560BCD">
        <w:t xml:space="preserve"> in a number of countries. In Belgium, the </w:t>
      </w:r>
      <w:proofErr w:type="spellStart"/>
      <w:r w:rsidR="00560BCD">
        <w:t>Promethea</w:t>
      </w:r>
      <w:proofErr w:type="spellEnd"/>
      <w:r w:rsidR="00560BCD">
        <w:t xml:space="preserve"> association acts as an interface between the business sector and the cultural sector, promoting mutually beneficial exchanges and even running a competition that rewards cultural patronage. In Australia, </w:t>
      </w:r>
      <w:r w:rsidR="00560BCD" w:rsidRPr="00560BCD">
        <w:rPr>
          <w:lang w:val="en-US"/>
        </w:rPr>
        <w:t xml:space="preserve">Creative Partnerships </w:t>
      </w:r>
      <w:r w:rsidR="0042758D">
        <w:rPr>
          <w:lang w:val="en-US"/>
        </w:rPr>
        <w:t>is a government body whose functions embrace</w:t>
      </w:r>
      <w:r w:rsidR="0042758D" w:rsidRPr="0042758D">
        <w:rPr>
          <w:lang w:val="en-US"/>
        </w:rPr>
        <w:t xml:space="preserve"> all aspects of corporate and private phi</w:t>
      </w:r>
      <w:r w:rsidR="0042758D">
        <w:rPr>
          <w:lang w:val="en-US"/>
        </w:rPr>
        <w:t xml:space="preserve">lanthropy and engagement and </w:t>
      </w:r>
      <w:r w:rsidR="0042758D" w:rsidRPr="0042758D">
        <w:rPr>
          <w:lang w:val="en-US"/>
        </w:rPr>
        <w:t xml:space="preserve">explore new models of investment in arts and culture. </w:t>
      </w:r>
      <w:r w:rsidR="0042758D">
        <w:rPr>
          <w:lang w:val="en-US"/>
        </w:rPr>
        <w:t>They are working to develop f</w:t>
      </w:r>
      <w:r w:rsidR="0042758D" w:rsidRPr="0042758D">
        <w:rPr>
          <w:lang w:val="en-US"/>
        </w:rPr>
        <w:t xml:space="preserve">unding </w:t>
      </w:r>
      <w:proofErr w:type="spellStart"/>
      <w:r w:rsidR="0042758D" w:rsidRPr="0042758D">
        <w:rPr>
          <w:lang w:val="en-US"/>
        </w:rPr>
        <w:t>program</w:t>
      </w:r>
      <w:r w:rsidR="0042758D">
        <w:rPr>
          <w:lang w:val="en-US"/>
        </w:rPr>
        <w:t>mes</w:t>
      </w:r>
      <w:proofErr w:type="spellEnd"/>
      <w:r w:rsidR="0042758D" w:rsidRPr="0042758D">
        <w:rPr>
          <w:lang w:val="en-US"/>
        </w:rPr>
        <w:t xml:space="preserve"> for the cultural sector based on new </w:t>
      </w:r>
      <w:r w:rsidR="0042758D">
        <w:rPr>
          <w:lang w:val="en-US"/>
        </w:rPr>
        <w:t xml:space="preserve">funding </w:t>
      </w:r>
      <w:r w:rsidR="0042758D" w:rsidRPr="0042758D">
        <w:rPr>
          <w:lang w:val="en-US"/>
        </w:rPr>
        <w:t xml:space="preserve">models </w:t>
      </w:r>
      <w:r w:rsidR="0042758D">
        <w:rPr>
          <w:lang w:val="en-US"/>
        </w:rPr>
        <w:t xml:space="preserve">such as </w:t>
      </w:r>
      <w:r w:rsidR="0042758D" w:rsidRPr="0042758D">
        <w:rPr>
          <w:lang w:val="en-US"/>
        </w:rPr>
        <w:t>micro-loans, cro</w:t>
      </w:r>
      <w:r w:rsidR="0042758D">
        <w:rPr>
          <w:lang w:val="en-US"/>
        </w:rPr>
        <w:t>wd sourcing and matched funding</w:t>
      </w:r>
      <w:r w:rsidR="0042758D" w:rsidRPr="0042758D">
        <w:rPr>
          <w:lang w:val="en-US"/>
        </w:rPr>
        <w:t>.</w:t>
      </w:r>
      <w:r w:rsidR="00B8628F">
        <w:rPr>
          <w:lang w:val="en-US"/>
        </w:rPr>
        <w:t xml:space="preserve"> In Austria, the </w:t>
      </w:r>
      <w:r w:rsidR="00B8628F" w:rsidRPr="00B8628F">
        <w:rPr>
          <w:lang w:val="en-US"/>
        </w:rPr>
        <w:t>Business Committee for the Arts (</w:t>
      </w:r>
      <w:proofErr w:type="spellStart"/>
      <w:r w:rsidR="00B8628F" w:rsidRPr="00B8628F">
        <w:rPr>
          <w:lang w:val="en-US"/>
        </w:rPr>
        <w:t>Initiativen</w:t>
      </w:r>
      <w:proofErr w:type="spellEnd"/>
      <w:r w:rsidR="00B8628F" w:rsidRPr="00B8628F">
        <w:rPr>
          <w:lang w:val="en-US"/>
        </w:rPr>
        <w:t xml:space="preserve"> </w:t>
      </w:r>
      <w:proofErr w:type="spellStart"/>
      <w:r w:rsidR="00B8628F" w:rsidRPr="00B8628F">
        <w:rPr>
          <w:lang w:val="en-US"/>
        </w:rPr>
        <w:t>Wirtschaft</w:t>
      </w:r>
      <w:proofErr w:type="spellEnd"/>
      <w:r w:rsidR="00B8628F" w:rsidRPr="00B8628F">
        <w:rPr>
          <w:lang w:val="en-US"/>
        </w:rPr>
        <w:t xml:space="preserve"> </w:t>
      </w:r>
      <w:proofErr w:type="spellStart"/>
      <w:r w:rsidR="00B8628F" w:rsidRPr="00B8628F">
        <w:rPr>
          <w:lang w:val="en-US"/>
        </w:rPr>
        <w:t>für</w:t>
      </w:r>
      <w:proofErr w:type="spellEnd"/>
      <w:r w:rsidR="00B8628F" w:rsidRPr="00B8628F">
        <w:rPr>
          <w:lang w:val="en-US"/>
        </w:rPr>
        <w:t xml:space="preserve"> </w:t>
      </w:r>
      <w:proofErr w:type="spellStart"/>
      <w:r w:rsidR="00B8628F" w:rsidRPr="00B8628F">
        <w:rPr>
          <w:lang w:val="en-US"/>
        </w:rPr>
        <w:t>Kunst</w:t>
      </w:r>
      <w:proofErr w:type="spellEnd"/>
      <w:r w:rsidR="00B8628F" w:rsidRPr="00B8628F">
        <w:rPr>
          <w:lang w:val="en-US"/>
        </w:rPr>
        <w:t xml:space="preserve">) is dedicated to increasing awareness and </w:t>
      </w:r>
      <w:r w:rsidR="00B8628F">
        <w:rPr>
          <w:lang w:val="en-US"/>
        </w:rPr>
        <w:t>acceptance of culture sponsorship</w:t>
      </w:r>
      <w:r w:rsidR="00B8628F" w:rsidRPr="00B8628F">
        <w:rPr>
          <w:lang w:val="en-US"/>
        </w:rPr>
        <w:t xml:space="preserve"> in the economy, and to communicating the significance of art and culture to the economy. It has launched several incentives to promote arts sponsorship, such as the Maecenas sponsorship award, and also conducts studies in the field.</w:t>
      </w:r>
      <w:r w:rsidR="0042758D" w:rsidRPr="0042758D">
        <w:rPr>
          <w:lang w:val="en-US"/>
        </w:rPr>
        <w:t xml:space="preserve"> </w:t>
      </w:r>
      <w:r w:rsidR="004561D2">
        <w:rPr>
          <w:lang w:val="en-US"/>
        </w:rPr>
        <w:t xml:space="preserve">In the Netherlands, </w:t>
      </w:r>
      <w:r w:rsidR="004561D2" w:rsidRPr="004561D2">
        <w:rPr>
          <w:lang w:val="en-US"/>
        </w:rPr>
        <w:t>adjustments to tax regulations have made it more attractive for individuals and companies t</w:t>
      </w:r>
      <w:r w:rsidR="004561D2">
        <w:rPr>
          <w:lang w:val="en-US"/>
        </w:rPr>
        <w:t>o give to culture and t</w:t>
      </w:r>
      <w:r w:rsidR="004561D2" w:rsidRPr="004561D2">
        <w:rPr>
          <w:lang w:val="en-US"/>
        </w:rPr>
        <w:t xml:space="preserve">o support this initiative, the government created the campaign Care about Culture in </w:t>
      </w:r>
      <w:r w:rsidR="004561D2">
        <w:rPr>
          <w:lang w:val="en-US"/>
        </w:rPr>
        <w:t>to</w:t>
      </w:r>
      <w:r w:rsidR="004561D2" w:rsidRPr="004561D2">
        <w:rPr>
          <w:lang w:val="en-US"/>
        </w:rPr>
        <w:t xml:space="preserve"> stimulate giving, targeting </w:t>
      </w:r>
      <w:r w:rsidR="004561D2">
        <w:rPr>
          <w:lang w:val="en-US"/>
        </w:rPr>
        <w:t>not just</w:t>
      </w:r>
      <w:r w:rsidR="004561D2" w:rsidRPr="004561D2">
        <w:rPr>
          <w:lang w:val="en-US"/>
        </w:rPr>
        <w:t xml:space="preserve"> businesses </w:t>
      </w:r>
      <w:r w:rsidR="004561D2">
        <w:rPr>
          <w:lang w:val="en-US"/>
        </w:rPr>
        <w:t xml:space="preserve">but also </w:t>
      </w:r>
      <w:r w:rsidR="004561D2" w:rsidRPr="004561D2">
        <w:rPr>
          <w:lang w:val="en-US"/>
        </w:rPr>
        <w:t xml:space="preserve">culture loving-citizens. </w:t>
      </w:r>
    </w:p>
    <w:p w14:paraId="165D79CC" w14:textId="77777777" w:rsidR="002B01CD" w:rsidRDefault="002B01CD">
      <w:pPr>
        <w:rPr>
          <w:lang w:val="en-US"/>
        </w:rPr>
      </w:pPr>
    </w:p>
    <w:p w14:paraId="1B163977" w14:textId="47D0F991" w:rsidR="002B01CD" w:rsidRDefault="00593EFC">
      <w:pPr>
        <w:rPr>
          <w:lang w:val="en-US"/>
        </w:rPr>
      </w:pPr>
      <w:r w:rsidRPr="00593EFC">
        <w:rPr>
          <w:u w:val="double"/>
          <w:lang w:val="en-US"/>
        </w:rPr>
        <w:t>The UK</w:t>
      </w:r>
      <w:r w:rsidRPr="00593EFC">
        <w:rPr>
          <w:lang w:val="en-US"/>
        </w:rPr>
        <w:t xml:space="preserve"> Government traditionally funds the arts through an arm's-length principle whereby the government sets an overall arts funding figure but, in the main, does not interfere with how it is distributed and leaves this to the </w:t>
      </w:r>
      <w:r w:rsidR="00936447">
        <w:rPr>
          <w:lang w:val="en-US"/>
        </w:rPr>
        <w:t xml:space="preserve">local authorities and </w:t>
      </w:r>
      <w:r w:rsidRPr="00593EFC">
        <w:rPr>
          <w:lang w:val="en-US"/>
        </w:rPr>
        <w:t>various culture-form councils</w:t>
      </w:r>
      <w:r>
        <w:rPr>
          <w:lang w:val="en-US"/>
        </w:rPr>
        <w:t>.</w:t>
      </w:r>
      <w:r w:rsidR="005130DC">
        <w:rPr>
          <w:lang w:val="en-US"/>
        </w:rPr>
        <w:t xml:space="preserve"> </w:t>
      </w:r>
      <w:r w:rsidR="00976AB6">
        <w:t>However</w:t>
      </w:r>
      <w:r w:rsidR="00936447">
        <w:t>,</w:t>
      </w:r>
      <w:r w:rsidR="00976AB6">
        <w:t xml:space="preserve"> the art councils are expected to report on and adhere to government set targets and </w:t>
      </w:r>
      <w:r w:rsidR="00976AB6">
        <w:lastRenderedPageBreak/>
        <w:t xml:space="preserve">priorities. Budgets for culture at local authority level are in year on year decline and many grant programmes for artists and visual arts activity have totally disappeared. Local authorities in the UK have traditionally supported one or a small number of key culture institutions within their boundaries but this varies quite dramatically from area to area. </w:t>
      </w:r>
      <w:r w:rsidR="00976AB6">
        <w:rPr>
          <w:lang w:val="en-US"/>
        </w:rPr>
        <w:t>P</w:t>
      </w:r>
      <w:r w:rsidR="002E64E1">
        <w:rPr>
          <w:lang w:val="en-US"/>
        </w:rPr>
        <w:t xml:space="preserve">ublic art commissioning </w:t>
      </w:r>
      <w:r w:rsidR="00976AB6">
        <w:rPr>
          <w:lang w:val="en-US"/>
        </w:rPr>
        <w:t xml:space="preserve">in </w:t>
      </w:r>
      <w:r w:rsidR="005130DC" w:rsidRPr="005130DC">
        <w:rPr>
          <w:lang w:val="en-US"/>
        </w:rPr>
        <w:t>Britain lags behind other countr</w:t>
      </w:r>
      <w:r w:rsidR="005130DC">
        <w:rPr>
          <w:lang w:val="en-US"/>
        </w:rPr>
        <w:t>ies and</w:t>
      </w:r>
      <w:r w:rsidR="005130DC" w:rsidRPr="005130DC">
        <w:rPr>
          <w:lang w:val="en-US"/>
        </w:rPr>
        <w:t xml:space="preserve"> </w:t>
      </w:r>
      <w:r w:rsidR="00976AB6">
        <w:rPr>
          <w:lang w:val="en-US"/>
        </w:rPr>
        <w:t>there has never been a national</w:t>
      </w:r>
      <w:r w:rsidR="002E64E1">
        <w:rPr>
          <w:lang w:val="en-US"/>
        </w:rPr>
        <w:t xml:space="preserve"> ‘Percent for Art’ policy, </w:t>
      </w:r>
      <w:r w:rsidR="00B1083D">
        <w:rPr>
          <w:lang w:val="en-US"/>
        </w:rPr>
        <w:t>although</w:t>
      </w:r>
      <w:r w:rsidR="002E64E1">
        <w:rPr>
          <w:lang w:val="en-US"/>
        </w:rPr>
        <w:t xml:space="preserve"> some Scottish councils, such as East Lothian or </w:t>
      </w:r>
      <w:commentRangeStart w:id="5"/>
      <w:proofErr w:type="spellStart"/>
      <w:r w:rsidR="002E64E1">
        <w:rPr>
          <w:lang w:val="en-US"/>
        </w:rPr>
        <w:t>Aberdeenshire</w:t>
      </w:r>
      <w:commentRangeEnd w:id="5"/>
      <w:proofErr w:type="spellEnd"/>
      <w:r w:rsidR="00936447">
        <w:rPr>
          <w:rStyle w:val="CommentReference"/>
        </w:rPr>
        <w:commentReference w:id="5"/>
      </w:r>
      <w:r w:rsidR="002E64E1">
        <w:rPr>
          <w:lang w:val="en-US"/>
        </w:rPr>
        <w:t xml:space="preserve">, are leading the way with their own </w:t>
      </w:r>
      <w:r w:rsidR="00C305F7">
        <w:rPr>
          <w:lang w:val="en-US"/>
        </w:rPr>
        <w:t>‘Percent for Art’ schemes</w:t>
      </w:r>
      <w:r w:rsidR="002E64E1">
        <w:rPr>
          <w:lang w:val="en-US"/>
        </w:rPr>
        <w:t xml:space="preserve">. </w:t>
      </w:r>
      <w:r w:rsidR="00976AB6">
        <w:t xml:space="preserve">A UK based website Public Art Online that offered advice, resources and support for public art activity has recently closed and the Scottish equivalent Sited.info which was the result of an 18 month research project into the future support needs of public/sited artworks hasn’t been updated for a number of years. The UK lacks a national or regional strategy for the acquisition of contemporary art, which happens on a case by case basis in various institutions with many regional collections struggling to maintain or develop contemporary collections. However, the British Council and Arts Council England maintain and exhibit significant contemporary collections. </w:t>
      </w:r>
      <w:r w:rsidR="002643A0">
        <w:rPr>
          <w:lang w:val="en-US"/>
        </w:rPr>
        <w:t xml:space="preserve">Until 2002, there was no central resource uniting artworks in public collections and it was a private initiative that resulted in the Art UK website and its ongoing </w:t>
      </w:r>
      <w:proofErr w:type="spellStart"/>
      <w:r w:rsidR="002643A0">
        <w:rPr>
          <w:lang w:val="en-US"/>
        </w:rPr>
        <w:t>digitisation</w:t>
      </w:r>
      <w:proofErr w:type="spellEnd"/>
      <w:r w:rsidR="002643A0">
        <w:rPr>
          <w:lang w:val="en-US"/>
        </w:rPr>
        <w:t xml:space="preserve"> </w:t>
      </w:r>
      <w:proofErr w:type="spellStart"/>
      <w:r w:rsidR="002643A0">
        <w:rPr>
          <w:lang w:val="en-US"/>
        </w:rPr>
        <w:t>programme</w:t>
      </w:r>
      <w:proofErr w:type="spellEnd"/>
      <w:r w:rsidR="002643A0">
        <w:rPr>
          <w:lang w:val="en-US"/>
        </w:rPr>
        <w:t xml:space="preserve">. </w:t>
      </w:r>
      <w:r w:rsidR="00742E2C">
        <w:rPr>
          <w:lang w:val="en-US"/>
        </w:rPr>
        <w:t xml:space="preserve">In terms of sponsorship-building initiatives, </w:t>
      </w:r>
      <w:r w:rsidR="00936447">
        <w:t>Arts &amp; Business and Arts &amp; Business Scotland (with similar branches in Wales and Northern Ireland)</w:t>
      </w:r>
      <w:r w:rsidR="00742E2C">
        <w:rPr>
          <w:lang w:val="en-US"/>
        </w:rPr>
        <w:t xml:space="preserve"> </w:t>
      </w:r>
      <w:r w:rsidR="00936447">
        <w:rPr>
          <w:lang w:val="en-US"/>
        </w:rPr>
        <w:t xml:space="preserve">are initiatives that </w:t>
      </w:r>
      <w:r w:rsidR="00742E2C">
        <w:rPr>
          <w:lang w:val="en-US"/>
        </w:rPr>
        <w:t>aim to</w:t>
      </w:r>
      <w:r w:rsidR="00742E2C" w:rsidRPr="00742E2C">
        <w:rPr>
          <w:lang w:val="en-US"/>
        </w:rPr>
        <w:t xml:space="preserve"> encourage and stimulate business support of the </w:t>
      </w:r>
      <w:r w:rsidR="00742E2C">
        <w:rPr>
          <w:lang w:val="en-US"/>
        </w:rPr>
        <w:t xml:space="preserve">arts </w:t>
      </w:r>
      <w:r w:rsidR="00742E2C" w:rsidRPr="00742E2C">
        <w:rPr>
          <w:lang w:val="en-US"/>
        </w:rPr>
        <w:t>via partnerships, investment, advice and</w:t>
      </w:r>
      <w:r w:rsidR="00742E2C">
        <w:rPr>
          <w:lang w:val="en-US"/>
        </w:rPr>
        <w:t xml:space="preserve"> leveraging corporate expertise.</w:t>
      </w:r>
      <w:r w:rsidR="009E2A22">
        <w:rPr>
          <w:lang w:val="en-US"/>
        </w:rPr>
        <w:t xml:space="preserve"> There is also a long-running scheme, Own Art, that offers interest free loans to the general public for purchasing contemporary art.</w:t>
      </w:r>
    </w:p>
    <w:p w14:paraId="70D30D62" w14:textId="77777777" w:rsidR="0035663E" w:rsidRDefault="0035663E">
      <w:pPr>
        <w:rPr>
          <w:lang w:val="en-US"/>
        </w:rPr>
      </w:pPr>
    </w:p>
    <w:p w14:paraId="1036556B" w14:textId="516E7691" w:rsidR="0035663E" w:rsidRPr="006B4614" w:rsidRDefault="0035663E" w:rsidP="0035663E">
      <w:pPr>
        <w:pStyle w:val="Heading2"/>
      </w:pPr>
      <w:bookmarkStart w:id="6" w:name="_Toc503362523"/>
      <w:r w:rsidRPr="0035663E">
        <w:t>Cultural Mobility</w:t>
      </w:r>
      <w:bookmarkEnd w:id="6"/>
    </w:p>
    <w:p w14:paraId="69EF0AC4" w14:textId="781BBE76" w:rsidR="001D30CB" w:rsidRPr="0035663E" w:rsidRDefault="0063147D" w:rsidP="001D30CB">
      <w:r>
        <w:rPr>
          <w:lang w:val="en-US"/>
        </w:rPr>
        <w:t xml:space="preserve">A changing political climate </w:t>
      </w:r>
      <w:r w:rsidR="001D30CB">
        <w:rPr>
          <w:lang w:val="en-US"/>
        </w:rPr>
        <w:t xml:space="preserve">can affect the opportunities that arts professional </w:t>
      </w:r>
      <w:proofErr w:type="gramStart"/>
      <w:r w:rsidR="001D30CB">
        <w:rPr>
          <w:lang w:val="en-US"/>
        </w:rPr>
        <w:t>have</w:t>
      </w:r>
      <w:proofErr w:type="gramEnd"/>
      <w:r w:rsidR="001D30CB">
        <w:rPr>
          <w:lang w:val="en-US"/>
        </w:rPr>
        <w:t xml:space="preserve"> for international exposure and cultural mobility. To maintain a cultural presence abroad, some</w:t>
      </w:r>
      <w:r w:rsidR="001D30CB">
        <w:t xml:space="preserve"> countries maintain </w:t>
      </w:r>
      <w:r w:rsidR="001D30CB" w:rsidRPr="00871CFC">
        <w:rPr>
          <w:u w:val="single"/>
        </w:rPr>
        <w:t>international networks of cultural organisations</w:t>
      </w:r>
      <w:r w:rsidR="001D30CB">
        <w:t xml:space="preserve"> that promote their culture and engender cultural exchanges and initiatives in the field. Examples are Germany’s Goethe Institute, the Danish Cultural Institute and the Austrian Cultural Fora. One of the most successful examples is the French Institute, which even sources its own sponsorship in certain locations. </w:t>
      </w:r>
    </w:p>
    <w:p w14:paraId="3C0B5D4A" w14:textId="699E3CDE" w:rsidR="0063147D" w:rsidRDefault="0063147D" w:rsidP="0035663E">
      <w:pPr>
        <w:rPr>
          <w:lang w:val="en-US"/>
        </w:rPr>
      </w:pPr>
    </w:p>
    <w:p w14:paraId="417C84A2" w14:textId="4CF1AF2B" w:rsidR="001D30CB" w:rsidRDefault="001D30CB" w:rsidP="001D30CB">
      <w:pPr>
        <w:rPr>
          <w:lang w:val="en-US"/>
        </w:rPr>
      </w:pPr>
      <w:r>
        <w:rPr>
          <w:lang w:val="en-US"/>
        </w:rPr>
        <w:t xml:space="preserve">Some countries ensure mobility opportunities for artists exist by setting up </w:t>
      </w:r>
      <w:r w:rsidRPr="001D30CB">
        <w:rPr>
          <w:u w:val="single"/>
          <w:lang w:val="en-US"/>
        </w:rPr>
        <w:t>regional or</w:t>
      </w:r>
      <w:r>
        <w:rPr>
          <w:lang w:val="en-US"/>
        </w:rPr>
        <w:t xml:space="preserve"> </w:t>
      </w:r>
      <w:r w:rsidRPr="008962F0">
        <w:rPr>
          <w:u w:val="single"/>
          <w:lang w:val="en-US"/>
        </w:rPr>
        <w:t>bilateral initiatives</w:t>
      </w:r>
      <w:r>
        <w:rPr>
          <w:lang w:val="en-US"/>
        </w:rPr>
        <w:t xml:space="preserve">. This is a practice used by France, which contributes together with international partners </w:t>
      </w:r>
      <w:r w:rsidRPr="008962F0">
        <w:rPr>
          <w:lang w:val="en-US"/>
        </w:rPr>
        <w:t xml:space="preserve">to the creation of bilateral art funds. </w:t>
      </w:r>
      <w:r>
        <w:rPr>
          <w:lang w:val="en-US"/>
        </w:rPr>
        <w:t>Particularly successful has been</w:t>
      </w:r>
      <w:r w:rsidRPr="008962F0">
        <w:rPr>
          <w:lang w:val="en-US"/>
        </w:rPr>
        <w:t xml:space="preserve"> </w:t>
      </w:r>
      <w:r>
        <w:rPr>
          <w:lang w:val="en-US"/>
        </w:rPr>
        <w:t>‘</w:t>
      </w:r>
      <w:proofErr w:type="spellStart"/>
      <w:r w:rsidRPr="008962F0">
        <w:rPr>
          <w:lang w:val="en-US"/>
        </w:rPr>
        <w:t>Étant</w:t>
      </w:r>
      <w:proofErr w:type="spellEnd"/>
      <w:r w:rsidRPr="008962F0">
        <w:rPr>
          <w:lang w:val="en-US"/>
        </w:rPr>
        <w:t xml:space="preserve"> </w:t>
      </w:r>
      <w:proofErr w:type="spellStart"/>
      <w:r w:rsidRPr="008962F0">
        <w:rPr>
          <w:lang w:val="en-US"/>
        </w:rPr>
        <w:t>Donnés</w:t>
      </w:r>
      <w:proofErr w:type="spellEnd"/>
      <w:r>
        <w:rPr>
          <w:lang w:val="en-US"/>
        </w:rPr>
        <w:t>’</w:t>
      </w:r>
      <w:r w:rsidRPr="008962F0">
        <w:rPr>
          <w:lang w:val="en-US"/>
        </w:rPr>
        <w:t xml:space="preserve">, the French-American Fund for Contemporary Art </w:t>
      </w:r>
      <w:r>
        <w:rPr>
          <w:lang w:val="en-US"/>
        </w:rPr>
        <w:t xml:space="preserve">which </w:t>
      </w:r>
      <w:r w:rsidRPr="008962F0">
        <w:rPr>
          <w:lang w:val="en-US"/>
        </w:rPr>
        <w:t xml:space="preserve">has made it possible to develop French projects across the United States. Since its inception, </w:t>
      </w:r>
      <w:proofErr w:type="spellStart"/>
      <w:r w:rsidRPr="008962F0">
        <w:rPr>
          <w:lang w:val="en-US"/>
        </w:rPr>
        <w:t>Étant</w:t>
      </w:r>
      <w:proofErr w:type="spellEnd"/>
      <w:r w:rsidRPr="008962F0">
        <w:rPr>
          <w:lang w:val="en-US"/>
        </w:rPr>
        <w:t xml:space="preserve"> </w:t>
      </w:r>
      <w:proofErr w:type="spellStart"/>
      <w:r w:rsidRPr="008962F0">
        <w:rPr>
          <w:lang w:val="en-US"/>
        </w:rPr>
        <w:t>donnés</w:t>
      </w:r>
      <w:proofErr w:type="spellEnd"/>
      <w:r w:rsidRPr="008962F0">
        <w:rPr>
          <w:lang w:val="en-US"/>
        </w:rPr>
        <w:t xml:space="preserve"> has developed an international reputation by allocating over $3 million to fund more than 300 projects and 16 curators. Since 2010, a Franco-British </w:t>
      </w:r>
      <w:r>
        <w:rPr>
          <w:lang w:val="en-US"/>
        </w:rPr>
        <w:t>fund has also been in existence:</w:t>
      </w:r>
      <w:r w:rsidRPr="008962F0">
        <w:rPr>
          <w:lang w:val="en-US"/>
        </w:rPr>
        <w:t xml:space="preserve"> </w:t>
      </w:r>
      <w:r>
        <w:rPr>
          <w:lang w:val="en-US"/>
        </w:rPr>
        <w:t>‘</w:t>
      </w:r>
      <w:proofErr w:type="spellStart"/>
      <w:r w:rsidRPr="008962F0">
        <w:rPr>
          <w:lang w:val="en-US"/>
        </w:rPr>
        <w:t>Fluxus</w:t>
      </w:r>
      <w:proofErr w:type="spellEnd"/>
      <w:r w:rsidRPr="008962F0">
        <w:rPr>
          <w:lang w:val="en-US"/>
        </w:rPr>
        <w:t xml:space="preserve"> Art Projects</w:t>
      </w:r>
      <w:r>
        <w:rPr>
          <w:lang w:val="en-US"/>
        </w:rPr>
        <w:t>’</w:t>
      </w:r>
      <w:r w:rsidRPr="008962F0">
        <w:rPr>
          <w:lang w:val="en-US"/>
        </w:rPr>
        <w:t xml:space="preserve"> is dedicated to supporting exhibitions by contemporary artists from both countries. It intervenes at a decisive point in their career, when they start to emerge from their national scene and need support to exhibit overseas.</w:t>
      </w:r>
      <w:r>
        <w:rPr>
          <w:lang w:val="en-US"/>
        </w:rPr>
        <w:t xml:space="preserve"> Australia has created </w:t>
      </w:r>
      <w:proofErr w:type="spellStart"/>
      <w:r>
        <w:rPr>
          <w:lang w:val="en-US"/>
        </w:rPr>
        <w:t>AsiaLink</w:t>
      </w:r>
      <w:proofErr w:type="spellEnd"/>
      <w:r>
        <w:rPr>
          <w:lang w:val="en-US"/>
        </w:rPr>
        <w:t xml:space="preserve">, </w:t>
      </w:r>
      <w:r w:rsidRPr="008962F0">
        <w:rPr>
          <w:lang w:val="en-US"/>
        </w:rPr>
        <w:t xml:space="preserve">a non-academic </w:t>
      </w:r>
      <w:proofErr w:type="spellStart"/>
      <w:r w:rsidRPr="008962F0">
        <w:rPr>
          <w:lang w:val="en-US"/>
        </w:rPr>
        <w:t>centre</w:t>
      </w:r>
      <w:proofErr w:type="spellEnd"/>
      <w:r w:rsidRPr="008962F0">
        <w:rPr>
          <w:lang w:val="en-US"/>
        </w:rPr>
        <w:t xml:space="preserve"> within the University of Melbourne that runs a wide range of </w:t>
      </w:r>
      <w:proofErr w:type="spellStart"/>
      <w:r w:rsidRPr="008962F0">
        <w:rPr>
          <w:lang w:val="en-US"/>
        </w:rPr>
        <w:t>program</w:t>
      </w:r>
      <w:r>
        <w:rPr>
          <w:lang w:val="en-US"/>
        </w:rPr>
        <w:t>me</w:t>
      </w:r>
      <w:r w:rsidRPr="008962F0">
        <w:rPr>
          <w:lang w:val="en-US"/>
        </w:rPr>
        <w:t>s</w:t>
      </w:r>
      <w:proofErr w:type="spellEnd"/>
      <w:r w:rsidRPr="008962F0">
        <w:rPr>
          <w:lang w:val="en-US"/>
        </w:rPr>
        <w:t xml:space="preserve"> foster</w:t>
      </w:r>
      <w:r>
        <w:rPr>
          <w:lang w:val="en-US"/>
        </w:rPr>
        <w:t>ing</w:t>
      </w:r>
      <w:r w:rsidRPr="008962F0">
        <w:rPr>
          <w:lang w:val="en-US"/>
        </w:rPr>
        <w:t xml:space="preserve"> engagement between Australia and </w:t>
      </w:r>
      <w:r>
        <w:rPr>
          <w:lang w:val="en-US"/>
        </w:rPr>
        <w:t xml:space="preserve">partners in </w:t>
      </w:r>
      <w:r w:rsidRPr="008962F0">
        <w:rPr>
          <w:lang w:val="en-US"/>
        </w:rPr>
        <w:t>A</w:t>
      </w:r>
      <w:r>
        <w:rPr>
          <w:lang w:val="en-US"/>
        </w:rPr>
        <w:t>sia.</w:t>
      </w:r>
      <w:r w:rsidRPr="008962F0">
        <w:rPr>
          <w:lang w:val="en-US"/>
        </w:rPr>
        <w:t xml:space="preserve"> </w:t>
      </w:r>
      <w:r>
        <w:rPr>
          <w:lang w:val="en-US"/>
        </w:rPr>
        <w:t>S</w:t>
      </w:r>
      <w:r w:rsidRPr="008962F0">
        <w:rPr>
          <w:lang w:val="en-US"/>
        </w:rPr>
        <w:t xml:space="preserve">ince the </w:t>
      </w:r>
      <w:proofErr w:type="spellStart"/>
      <w:r>
        <w:rPr>
          <w:lang w:val="en-US"/>
        </w:rPr>
        <w:t>centre’s</w:t>
      </w:r>
      <w:proofErr w:type="spellEnd"/>
      <w:r w:rsidRPr="008962F0">
        <w:rPr>
          <w:lang w:val="en-US"/>
        </w:rPr>
        <w:t xml:space="preserve"> founding in 1991, </w:t>
      </w:r>
      <w:r>
        <w:rPr>
          <w:lang w:val="en-US"/>
        </w:rPr>
        <w:t xml:space="preserve">its arts component has </w:t>
      </w:r>
      <w:r w:rsidRPr="008962F0">
        <w:rPr>
          <w:lang w:val="en-US"/>
        </w:rPr>
        <w:t xml:space="preserve">provided opportunities for professional exchange </w:t>
      </w:r>
      <w:r w:rsidRPr="008962F0">
        <w:rPr>
          <w:lang w:val="en-US"/>
        </w:rPr>
        <w:lastRenderedPageBreak/>
        <w:t xml:space="preserve">between artists and arts </w:t>
      </w:r>
      <w:proofErr w:type="spellStart"/>
      <w:r w:rsidRPr="008962F0">
        <w:rPr>
          <w:lang w:val="en-US"/>
        </w:rPr>
        <w:t>organisations</w:t>
      </w:r>
      <w:proofErr w:type="spellEnd"/>
      <w:r w:rsidRPr="008962F0">
        <w:rPr>
          <w:lang w:val="en-US"/>
        </w:rPr>
        <w:t xml:space="preserve"> in the Asian region.</w:t>
      </w:r>
      <w:r w:rsidRPr="001D30CB">
        <w:t xml:space="preserve"> </w:t>
      </w:r>
      <w:r>
        <w:t>On a larger scale, the Nordic Cultural Point links together several countries in the Nordic and Baltic regions to promote cultural mobility and exchanges for artists and cultural workers in the region.</w:t>
      </w:r>
    </w:p>
    <w:p w14:paraId="3D5EB03C" w14:textId="77777777" w:rsidR="001D30CB" w:rsidRDefault="001D30CB" w:rsidP="0035663E">
      <w:pPr>
        <w:rPr>
          <w:lang w:val="en-US"/>
        </w:rPr>
      </w:pPr>
    </w:p>
    <w:p w14:paraId="67E793B2" w14:textId="6A417A54" w:rsidR="0035663E" w:rsidRDefault="00A62B5A" w:rsidP="0035663E">
      <w:r w:rsidRPr="00A62B5A">
        <w:t>Opportunities for international development and cultural mobility</w:t>
      </w:r>
      <w:r w:rsidR="00F60BDC">
        <w:t xml:space="preserve"> are also provided by individual organisations, some of which have developed a reputation for well-managed and innovative </w:t>
      </w:r>
      <w:r w:rsidR="00F60BDC" w:rsidRPr="00A2357B">
        <w:rPr>
          <w:u w:val="single"/>
        </w:rPr>
        <w:t>residency programmes</w:t>
      </w:r>
      <w:r w:rsidR="00F60BDC">
        <w:t xml:space="preserve">. </w:t>
      </w:r>
      <w:r w:rsidR="00F60BDC" w:rsidRPr="00F60BDC">
        <w:t xml:space="preserve">La Cité des Arts Paris supports professional artists who want to develop artistic work in France. The Ministry of Culture, the City of Paris and the Academy of Arts are among the French bodies that support this foundation, which has links with 135 organisations in France and abroad. Every month the foundation hosts more than 300 artists in all disciplines in its two Parisian locations. The City of Paris also joined forces with the French Institute to renovate the </w:t>
      </w:r>
      <w:proofErr w:type="spellStart"/>
      <w:r w:rsidR="00F60BDC" w:rsidRPr="00F60BDC">
        <w:t>Récollets</w:t>
      </w:r>
      <w:proofErr w:type="spellEnd"/>
      <w:r w:rsidR="00F60BDC" w:rsidRPr="00F60BDC">
        <w:t xml:space="preserve"> Convent, a historical building in Paris on the banks of the Canal Saint-Martin and, since 2003, to make it a residency for artists and researchers from all over the world.</w:t>
      </w:r>
      <w:r w:rsidR="00F60BDC">
        <w:t xml:space="preserve"> </w:t>
      </w:r>
      <w:r w:rsidR="0035663E">
        <w:t xml:space="preserve">The Swedish </w:t>
      </w:r>
      <w:r w:rsidR="0035663E" w:rsidRPr="00F553B6">
        <w:t>International Artists Studio Programme</w:t>
      </w:r>
      <w:r w:rsidR="0035663E">
        <w:t xml:space="preserve"> (IASPIS) </w:t>
      </w:r>
      <w:r w:rsidR="004561D2" w:rsidRPr="004561D2">
        <w:t>offers artist in residence grants to visiting artists and supports artists from Sweden exhibiting abroad. It aims to 'formulate and explore topical issues in contemporary visual art and design from an international perspective’. IASPIS is connected to the Academy of Arts in Stockholm and to other cities in Sweden.</w:t>
      </w:r>
    </w:p>
    <w:p w14:paraId="43F006CB" w14:textId="77777777" w:rsidR="004561D2" w:rsidRDefault="004561D2" w:rsidP="0035663E">
      <w:pPr>
        <w:rPr>
          <w:lang w:val="en-US"/>
        </w:rPr>
      </w:pPr>
    </w:p>
    <w:p w14:paraId="08D33A15" w14:textId="3702F9A2" w:rsidR="00C20E5B" w:rsidRDefault="002E72E2" w:rsidP="00C20E5B">
      <w:pPr>
        <w:rPr>
          <w:lang w:val="en-US"/>
        </w:rPr>
      </w:pPr>
      <w:r w:rsidRPr="002E72E2">
        <w:rPr>
          <w:u w:val="single"/>
          <w:lang w:val="en-US"/>
        </w:rPr>
        <w:t>Access to information</w:t>
      </w:r>
      <w:r>
        <w:rPr>
          <w:lang w:val="en-US"/>
        </w:rPr>
        <w:t xml:space="preserve"> is the first step in pursuing such opportunities. </w:t>
      </w:r>
      <w:r w:rsidR="00212B7D">
        <w:rPr>
          <w:lang w:val="en-US"/>
        </w:rPr>
        <w:t xml:space="preserve">The cultural mobility network </w:t>
      </w:r>
      <w:r w:rsidR="00BF3DCD">
        <w:rPr>
          <w:lang w:val="en-US"/>
        </w:rPr>
        <w:t>On the Move</w:t>
      </w:r>
      <w:r w:rsidR="00C20E5B">
        <w:rPr>
          <w:lang w:val="en-US"/>
        </w:rPr>
        <w:t xml:space="preserve"> aims to </w:t>
      </w:r>
      <w:r w:rsidR="00C20E5B" w:rsidRPr="00C20E5B">
        <w:rPr>
          <w:lang w:val="en-US"/>
        </w:rPr>
        <w:t>encourage and facilitate cross-border mobility and cooperation, contributing to building up a vibrant and shared European cultural space that is strongly connected worldwide.</w:t>
      </w:r>
      <w:r w:rsidR="00C20E5B">
        <w:rPr>
          <w:lang w:val="en-US"/>
        </w:rPr>
        <w:t xml:space="preserve"> Their website provide</w:t>
      </w:r>
      <w:r w:rsidR="003C13D3">
        <w:rPr>
          <w:lang w:val="en-US"/>
        </w:rPr>
        <w:t>s</w:t>
      </w:r>
      <w:r w:rsidR="00C20E5B">
        <w:rPr>
          <w:lang w:val="en-US"/>
        </w:rPr>
        <w:t xml:space="preserve"> information on residencies and funding opportunities in countries worldwide, as well as guidelines on navigating the administrative aspects of cultural mobility, such as visas, social welfare and taxation policies. Their country-specific mobility funding guides include sections on both outgoing (for nationals of that country going elsewhere) and incoming (for foreign nationals going to that country) mobility. </w:t>
      </w:r>
      <w:r>
        <w:rPr>
          <w:lang w:val="en-US"/>
        </w:rPr>
        <w:t xml:space="preserve">In some </w:t>
      </w:r>
      <w:proofErr w:type="gramStart"/>
      <w:r>
        <w:rPr>
          <w:lang w:val="en-US"/>
        </w:rPr>
        <w:t>cases</w:t>
      </w:r>
      <w:proofErr w:type="gramEnd"/>
      <w:r>
        <w:rPr>
          <w:lang w:val="en-US"/>
        </w:rPr>
        <w:t xml:space="preserve"> individual countries also provide information hubs. Austria is particularly active</w:t>
      </w:r>
      <w:r w:rsidRPr="002E72E2">
        <w:t xml:space="preserve"> </w:t>
      </w:r>
      <w:r>
        <w:rPr>
          <w:lang w:val="en-US"/>
        </w:rPr>
        <w:t xml:space="preserve">and has </w:t>
      </w:r>
      <w:r w:rsidRPr="002E72E2">
        <w:rPr>
          <w:lang w:val="en-US"/>
        </w:rPr>
        <w:t xml:space="preserve">compiled a mobility guide that </w:t>
      </w:r>
      <w:proofErr w:type="spellStart"/>
      <w:r w:rsidRPr="002E72E2">
        <w:rPr>
          <w:lang w:val="en-US"/>
        </w:rPr>
        <w:t>summarises</w:t>
      </w:r>
      <w:proofErr w:type="spellEnd"/>
      <w:r w:rsidRPr="002E72E2">
        <w:rPr>
          <w:lang w:val="en-US"/>
        </w:rPr>
        <w:t xml:space="preserve"> all regulations and issues relevant for artistic work. It is designed to provide information for creative artists coming to Austria, as well as for </w:t>
      </w:r>
      <w:proofErr w:type="spellStart"/>
      <w:r w:rsidRPr="002E72E2">
        <w:rPr>
          <w:lang w:val="en-US"/>
        </w:rPr>
        <w:t>organisers</w:t>
      </w:r>
      <w:proofErr w:type="spellEnd"/>
      <w:r w:rsidRPr="002E72E2">
        <w:rPr>
          <w:lang w:val="en-US"/>
        </w:rPr>
        <w:t xml:space="preserve"> of cultural events who extend invitations to Austria</w:t>
      </w:r>
      <w:r>
        <w:rPr>
          <w:lang w:val="en-US"/>
        </w:rPr>
        <w:t>n artists</w:t>
      </w:r>
      <w:r w:rsidRPr="002E72E2">
        <w:rPr>
          <w:lang w:val="en-US"/>
        </w:rPr>
        <w:t xml:space="preserve">, and support them in </w:t>
      </w:r>
      <w:proofErr w:type="spellStart"/>
      <w:r w:rsidRPr="002E72E2">
        <w:rPr>
          <w:lang w:val="en-US"/>
        </w:rPr>
        <w:t>realising</w:t>
      </w:r>
      <w:proofErr w:type="spellEnd"/>
      <w:r w:rsidRPr="002E72E2">
        <w:rPr>
          <w:lang w:val="en-US"/>
        </w:rPr>
        <w:t xml:space="preserve"> their artistic projects.</w:t>
      </w:r>
      <w:r w:rsidR="00E825BC">
        <w:rPr>
          <w:lang w:val="en-US"/>
        </w:rPr>
        <w:t xml:space="preserve"> The Austrian government is also responsible for commissioning </w:t>
      </w:r>
      <w:r w:rsidR="00E825BC" w:rsidRPr="00E825BC">
        <w:rPr>
          <w:lang w:val="en-US"/>
        </w:rPr>
        <w:t>a handbook for the EU-funding period 2014-2020</w:t>
      </w:r>
      <w:r w:rsidR="00E825BC">
        <w:rPr>
          <w:lang w:val="en-US"/>
        </w:rPr>
        <w:t xml:space="preserve"> that </w:t>
      </w:r>
      <w:r w:rsidR="00E825BC" w:rsidRPr="00E825BC">
        <w:rPr>
          <w:lang w:val="en-US"/>
        </w:rPr>
        <w:t xml:space="preserve">offers concrete and practical support for Austrian artists, cultural workers and institutions. It presents profiles of all current </w:t>
      </w:r>
      <w:proofErr w:type="spellStart"/>
      <w:r w:rsidR="00E825BC" w:rsidRPr="00E825BC">
        <w:rPr>
          <w:lang w:val="en-US"/>
        </w:rPr>
        <w:t>programmes</w:t>
      </w:r>
      <w:proofErr w:type="spellEnd"/>
      <w:r w:rsidR="00E825BC" w:rsidRPr="00E825BC">
        <w:rPr>
          <w:lang w:val="en-US"/>
        </w:rPr>
        <w:t xml:space="preserve"> in Austria, gives pointers to project development and applications and answers numerous questions, as well as providing a glossary of EU funding terms.</w:t>
      </w:r>
    </w:p>
    <w:p w14:paraId="6763489F" w14:textId="77777777" w:rsidR="009E2A22" w:rsidRDefault="009E2A22" w:rsidP="00C20E5B">
      <w:pPr>
        <w:rPr>
          <w:lang w:val="en-US"/>
        </w:rPr>
      </w:pPr>
    </w:p>
    <w:p w14:paraId="07D5079C" w14:textId="6FA34BC7" w:rsidR="009D3947" w:rsidRDefault="00A2357B" w:rsidP="0035663E">
      <w:pPr>
        <w:rPr>
          <w:lang w:val="en-US"/>
        </w:rPr>
      </w:pPr>
      <w:r w:rsidRPr="00A2357B">
        <w:rPr>
          <w:lang w:val="en-US"/>
        </w:rPr>
        <w:t>The British Council (w</w:t>
      </w:r>
      <w:r>
        <w:rPr>
          <w:lang w:val="en-US"/>
        </w:rPr>
        <w:t>hich is part-funded by the For</w:t>
      </w:r>
      <w:r w:rsidRPr="00A2357B">
        <w:rPr>
          <w:lang w:val="en-US"/>
        </w:rPr>
        <w:t xml:space="preserve">eign &amp; Commonwealth Office) is </w:t>
      </w:r>
      <w:r w:rsidRPr="00A2357B">
        <w:rPr>
          <w:u w:val="double"/>
          <w:lang w:val="en-US"/>
        </w:rPr>
        <w:t>the UK</w:t>
      </w:r>
      <w:r w:rsidRPr="00A2357B">
        <w:rPr>
          <w:lang w:val="en-US"/>
        </w:rPr>
        <w:t xml:space="preserve">'s international </w:t>
      </w:r>
      <w:proofErr w:type="spellStart"/>
      <w:r w:rsidRPr="00A2357B">
        <w:rPr>
          <w:lang w:val="en-US"/>
        </w:rPr>
        <w:t>organisation</w:t>
      </w:r>
      <w:proofErr w:type="spellEnd"/>
      <w:r w:rsidRPr="00A2357B">
        <w:rPr>
          <w:lang w:val="en-US"/>
        </w:rPr>
        <w:t xml:space="preserve"> for cultural relations and educational opportunities with offices in 110 countries. </w:t>
      </w:r>
      <w:r w:rsidR="009B1E62">
        <w:t xml:space="preserve">The British Council </w:t>
      </w:r>
      <w:r w:rsidR="003C13D3" w:rsidRPr="00E5123B">
        <w:t>Scotland</w:t>
      </w:r>
      <w:r w:rsidR="003C13D3">
        <w:t xml:space="preserve"> has also fostered</w:t>
      </w:r>
      <w:r w:rsidR="003C13D3" w:rsidRPr="00E5123B">
        <w:t xml:space="preserve"> </w:t>
      </w:r>
      <w:r w:rsidR="001B378E">
        <w:t xml:space="preserve">some </w:t>
      </w:r>
      <w:r w:rsidR="003C13D3" w:rsidRPr="00E5123B">
        <w:t>internation</w:t>
      </w:r>
      <w:r w:rsidR="003C13D3">
        <w:t xml:space="preserve">al cultural initiatives including </w:t>
      </w:r>
      <w:r w:rsidR="003C13D3" w:rsidRPr="00E5123B">
        <w:t>dev</w:t>
      </w:r>
      <w:r w:rsidR="003C13D3">
        <w:t xml:space="preserve">elopment opportunities for artists and </w:t>
      </w:r>
      <w:r w:rsidR="003C13D3" w:rsidRPr="00E5123B">
        <w:t>national represe</w:t>
      </w:r>
      <w:r w:rsidR="003C13D3">
        <w:t xml:space="preserve">ntation in the Venice Biennale and other curatorial exchanges with various countries prioritised within UK and Scottish government foreign policy objectives. </w:t>
      </w:r>
      <w:r w:rsidR="00E5123B">
        <w:rPr>
          <w:lang w:val="en-US"/>
        </w:rPr>
        <w:t>I</w:t>
      </w:r>
      <w:r w:rsidR="00E5123B" w:rsidRPr="00E5123B">
        <w:rPr>
          <w:lang w:val="en-US"/>
        </w:rPr>
        <w:t xml:space="preserve">nternational collaboration has </w:t>
      </w:r>
      <w:r w:rsidR="00E5123B">
        <w:rPr>
          <w:lang w:val="en-US"/>
        </w:rPr>
        <w:t xml:space="preserve">also </w:t>
      </w:r>
      <w:r w:rsidR="00E5123B" w:rsidRPr="00E5123B">
        <w:rPr>
          <w:lang w:val="en-US"/>
        </w:rPr>
        <w:t>been encour</w:t>
      </w:r>
      <w:r w:rsidR="00E5123B">
        <w:rPr>
          <w:lang w:val="en-US"/>
        </w:rPr>
        <w:t>aged by Visiting Arts, a quasi-</w:t>
      </w:r>
      <w:r w:rsidR="00E5123B" w:rsidRPr="00E5123B">
        <w:rPr>
          <w:lang w:val="en-US"/>
        </w:rPr>
        <w:t>independent body</w:t>
      </w:r>
      <w:r w:rsidR="003C13D3">
        <w:rPr>
          <w:lang w:val="en-US"/>
        </w:rPr>
        <w:t>, now an independent charity,</w:t>
      </w:r>
      <w:r w:rsidR="00E5123B" w:rsidRPr="00E5123B">
        <w:rPr>
          <w:lang w:val="en-US"/>
        </w:rPr>
        <w:t xml:space="preserve"> funded by the British Council, the Arts Councils and the Foreign &amp; Commonwealth </w:t>
      </w:r>
      <w:r w:rsidR="00E5123B" w:rsidRPr="00E5123B">
        <w:rPr>
          <w:lang w:val="en-US"/>
        </w:rPr>
        <w:lastRenderedPageBreak/>
        <w:t xml:space="preserve">Office, with an emphasis on support for the presentation of international work in the UK. </w:t>
      </w:r>
      <w:r w:rsidR="003C13D3">
        <w:rPr>
          <w:lang w:val="en-US"/>
        </w:rPr>
        <w:t xml:space="preserve">A recent </w:t>
      </w:r>
      <w:r w:rsidR="00A10F18">
        <w:rPr>
          <w:lang w:val="en-US"/>
        </w:rPr>
        <w:t xml:space="preserve">initiative is </w:t>
      </w:r>
      <w:r w:rsidR="00A10F18" w:rsidRPr="00A10F18">
        <w:rPr>
          <w:bCs/>
          <w:lang w:val="en-US"/>
        </w:rPr>
        <w:t>World Cultures Connect</w:t>
      </w:r>
      <w:r w:rsidR="00A10F18">
        <w:rPr>
          <w:bCs/>
          <w:lang w:val="en-US"/>
        </w:rPr>
        <w:t xml:space="preserve">, </w:t>
      </w:r>
      <w:r w:rsidR="00A10F18" w:rsidRPr="00A10F18">
        <w:rPr>
          <w:lang w:val="en-US"/>
        </w:rPr>
        <w:t>a global cultural information site</w:t>
      </w:r>
      <w:r w:rsidR="00A10F18">
        <w:rPr>
          <w:lang w:val="en-US"/>
        </w:rPr>
        <w:t xml:space="preserve"> that allows</w:t>
      </w:r>
      <w:r w:rsidR="00A10F18" w:rsidRPr="00A10F18">
        <w:rPr>
          <w:lang w:val="en-US"/>
        </w:rPr>
        <w:t xml:space="preserve"> artists and cultural organizations across the globe to promote their work, make new connections, identify opportunities and discover new partners, new markets and new audiences. </w:t>
      </w:r>
      <w:r w:rsidR="003C13D3">
        <w:t xml:space="preserve">a-n, </w:t>
      </w:r>
      <w:r w:rsidR="003C13D3" w:rsidRPr="002C68A9">
        <w:t xml:space="preserve">the largest artists’ membership organisation in the UK </w:t>
      </w:r>
      <w:r w:rsidR="003C13D3">
        <w:t>has</w:t>
      </w:r>
      <w:r w:rsidR="003C13D3" w:rsidRPr="002C68A9">
        <w:t xml:space="preserve"> over 21,000 members.</w:t>
      </w:r>
      <w:r w:rsidR="003C13D3">
        <w:t xml:space="preserve"> a-n</w:t>
      </w:r>
      <w:r w:rsidR="003C13D3" w:rsidRPr="002C68A9">
        <w:t xml:space="preserve"> support</w:t>
      </w:r>
      <w:r w:rsidR="003C13D3">
        <w:t>s</w:t>
      </w:r>
      <w:r w:rsidR="003C13D3" w:rsidRPr="002C68A9">
        <w:t xml:space="preserve"> artists and</w:t>
      </w:r>
      <w:r w:rsidR="003C13D3">
        <w:t xml:space="preserve"> </w:t>
      </w:r>
      <w:r w:rsidR="003C13D3" w:rsidRPr="002C68A9">
        <w:t xml:space="preserve">in practical ways, </w:t>
      </w:r>
      <w:r w:rsidR="003C13D3">
        <w:t xml:space="preserve">providing access to news, advice and support as part of their membership scheme. Another successful support initiative for UK based artists </w:t>
      </w:r>
      <w:r w:rsidR="009D3947">
        <w:rPr>
          <w:lang w:val="en-US"/>
        </w:rPr>
        <w:t>has been t</w:t>
      </w:r>
      <w:r w:rsidR="009D3947" w:rsidRPr="009D3947">
        <w:rPr>
          <w:lang w:val="en-US"/>
        </w:rPr>
        <w:t xml:space="preserve">he </w:t>
      </w:r>
      <w:proofErr w:type="spellStart"/>
      <w:r w:rsidR="009D3947" w:rsidRPr="009D3947">
        <w:rPr>
          <w:lang w:val="en-US"/>
        </w:rPr>
        <w:t>Artquest</w:t>
      </w:r>
      <w:proofErr w:type="spellEnd"/>
      <w:r w:rsidR="009D3947" w:rsidRPr="009D3947">
        <w:rPr>
          <w:lang w:val="en-US"/>
        </w:rPr>
        <w:t xml:space="preserve"> </w:t>
      </w:r>
      <w:proofErr w:type="spellStart"/>
      <w:r w:rsidR="009D3947" w:rsidRPr="009D3947">
        <w:rPr>
          <w:lang w:val="en-US"/>
        </w:rPr>
        <w:t>programme</w:t>
      </w:r>
      <w:proofErr w:type="spellEnd"/>
      <w:r w:rsidR="009D3947" w:rsidRPr="009D3947">
        <w:rPr>
          <w:lang w:val="en-US"/>
        </w:rPr>
        <w:t xml:space="preserve"> at University of the Arts London</w:t>
      </w:r>
      <w:r w:rsidR="009D3947">
        <w:rPr>
          <w:lang w:val="en-US"/>
        </w:rPr>
        <w:t xml:space="preserve">. </w:t>
      </w:r>
      <w:r w:rsidR="009D3947" w:rsidRPr="009D3947">
        <w:rPr>
          <w:lang w:val="en-US"/>
        </w:rPr>
        <w:t>Initially providing predominantly online advice and information for visual a</w:t>
      </w:r>
      <w:r w:rsidR="009D3947">
        <w:rPr>
          <w:lang w:val="en-US"/>
        </w:rPr>
        <w:t xml:space="preserve">rtists about their careers, it </w:t>
      </w:r>
      <w:r w:rsidR="009D3947" w:rsidRPr="009D3947">
        <w:rPr>
          <w:lang w:val="en-US"/>
        </w:rPr>
        <w:t xml:space="preserve">has broadened to include internships, graduate studio and research residencies, legal advice, artist career case studies, </w:t>
      </w:r>
      <w:r w:rsidR="009D3947">
        <w:rPr>
          <w:lang w:val="en-US"/>
        </w:rPr>
        <w:t xml:space="preserve">a free </w:t>
      </w:r>
      <w:r w:rsidR="009D3947" w:rsidRPr="009D3947">
        <w:rPr>
          <w:lang w:val="en-US"/>
        </w:rPr>
        <w:t>international studio exchange</w:t>
      </w:r>
      <w:r w:rsidR="009D3947">
        <w:rPr>
          <w:lang w:val="en-US"/>
        </w:rPr>
        <w:t xml:space="preserve"> </w:t>
      </w:r>
      <w:proofErr w:type="spellStart"/>
      <w:r w:rsidR="009D3947">
        <w:rPr>
          <w:lang w:val="en-US"/>
        </w:rPr>
        <w:t>programme</w:t>
      </w:r>
      <w:proofErr w:type="spellEnd"/>
      <w:r w:rsidR="009D3947" w:rsidRPr="009D3947">
        <w:rPr>
          <w:lang w:val="en-US"/>
        </w:rPr>
        <w:t>, mentoring, disc</w:t>
      </w:r>
      <w:r w:rsidR="009D3947">
        <w:rPr>
          <w:lang w:val="en-US"/>
        </w:rPr>
        <w:t>ounts, publications and debates.</w:t>
      </w:r>
      <w:r w:rsidR="003C13D3">
        <w:rPr>
          <w:lang w:val="en-US"/>
        </w:rPr>
        <w:t xml:space="preserve"> </w:t>
      </w:r>
    </w:p>
    <w:p w14:paraId="77E98298" w14:textId="77777777" w:rsidR="009D3947" w:rsidRDefault="009D3947" w:rsidP="0035663E">
      <w:pPr>
        <w:rPr>
          <w:lang w:val="en-US"/>
        </w:rPr>
      </w:pPr>
    </w:p>
    <w:p w14:paraId="107F9FFA" w14:textId="60DA3AD2" w:rsidR="0035663E" w:rsidRPr="006B4614" w:rsidRDefault="0035663E" w:rsidP="0035663E">
      <w:pPr>
        <w:pStyle w:val="Heading2"/>
      </w:pPr>
      <w:bookmarkStart w:id="7" w:name="_Toc503362524"/>
      <w:r w:rsidRPr="0035663E">
        <w:t>E</w:t>
      </w:r>
      <w:r w:rsidR="00E9154F">
        <w:t>qualities</w:t>
      </w:r>
      <w:r w:rsidR="009D7617">
        <w:t>,</w:t>
      </w:r>
      <w:r w:rsidR="00242E02">
        <w:t xml:space="preserve"> Diversity</w:t>
      </w:r>
      <w:r w:rsidR="009D7617">
        <w:t>,</w:t>
      </w:r>
      <w:r w:rsidR="00242E02">
        <w:t xml:space="preserve"> Inclusion &amp; Education</w:t>
      </w:r>
      <w:bookmarkEnd w:id="7"/>
    </w:p>
    <w:p w14:paraId="0143A7F2" w14:textId="77777777" w:rsidR="007535AB" w:rsidRDefault="009B0CA2" w:rsidP="000E1D9B">
      <w:r>
        <w:t xml:space="preserve">Countries </w:t>
      </w:r>
      <w:r w:rsidR="00DC0BCF">
        <w:t xml:space="preserve">with an indigenous population </w:t>
      </w:r>
      <w:r w:rsidR="00C81678">
        <w:t xml:space="preserve">have been </w:t>
      </w:r>
      <w:r w:rsidR="000E1D9B">
        <w:t xml:space="preserve">actively </w:t>
      </w:r>
      <w:r w:rsidR="00C81678">
        <w:t xml:space="preserve">seeking solutions for </w:t>
      </w:r>
      <w:r w:rsidR="00C81678" w:rsidRPr="000E1D9B">
        <w:rPr>
          <w:u w:val="single"/>
        </w:rPr>
        <w:t>fostering an inclusive environment</w:t>
      </w:r>
      <w:r w:rsidR="00C81678">
        <w:t xml:space="preserve"> </w:t>
      </w:r>
      <w:r w:rsidR="000E1D9B">
        <w:t>in the cultural sphere. In Australia, following a formal apology in 2009 by the government to its Indigenous people, programmes were established supporting Indigenous people within the Arts portfolio. As well as funding programmes that support contemporary Indigenous artistic creation and Indigenous heritage, the Government set up a new Indigenous Australian Art Commercial Code of Conduct developed after extensive consultation with Indigenous communities, art galleries and dealers, and with the state and territory government. Additionally, Australia has a range of multicultural arts associations dedicated to bringing arts from its diverse ethnic communities to the public, such as the Brisbane Ethnic Music and Arts Centre (BEMAC) and Multicultural Arts Victoria (MAV).</w:t>
      </w:r>
      <w:r w:rsidR="00A56959">
        <w:t xml:space="preserve"> </w:t>
      </w:r>
      <w:r w:rsidR="00A56959" w:rsidRPr="00A56959">
        <w:t xml:space="preserve">MAV </w:t>
      </w:r>
      <w:r w:rsidR="00A56959">
        <w:t xml:space="preserve">in particular </w:t>
      </w:r>
      <w:r w:rsidR="00A56959" w:rsidRPr="00A56959">
        <w:t>has evolved over four decades into one of Australia’s most important bodies for the discovery, development and promotion of culturally and linguistically diverse (CALD) contemporary art, heritage and cultural expression. Over 1 million participants are engaged in their program</w:t>
      </w:r>
      <w:r w:rsidR="00A56959">
        <w:t>mes</w:t>
      </w:r>
      <w:r w:rsidR="00A56959" w:rsidRPr="00A56959">
        <w:t xml:space="preserve"> which includes long-term initiatives for career development and creative capacity building for over 2,000 artists and 500 communities from diverse and emerging backgrounds. The organisation also offers expertise in audience development, community engagement and artistic excellence with CALD communities.</w:t>
      </w:r>
      <w:r w:rsidR="004D1040">
        <w:t xml:space="preserve"> </w:t>
      </w:r>
    </w:p>
    <w:p w14:paraId="46F08AEB" w14:textId="77777777" w:rsidR="007535AB" w:rsidRDefault="007535AB" w:rsidP="000E1D9B"/>
    <w:p w14:paraId="5B848AF4" w14:textId="669F13D1" w:rsidR="009B0CA2" w:rsidRDefault="004D1040" w:rsidP="000E1D9B">
      <w:r>
        <w:t xml:space="preserve">In </w:t>
      </w:r>
      <w:r w:rsidR="00E73A53">
        <w:t xml:space="preserve">many countries, </w:t>
      </w:r>
      <w:r w:rsidRPr="004D1040">
        <w:t xml:space="preserve">awareness of the need to promote </w:t>
      </w:r>
      <w:r w:rsidRPr="007535AB">
        <w:rPr>
          <w:u w:val="single"/>
        </w:rPr>
        <w:t>intercultural dialogue</w:t>
      </w:r>
      <w:r w:rsidRPr="004D1040">
        <w:t xml:space="preserve"> is growing</w:t>
      </w:r>
      <w:r w:rsidR="00E73A53">
        <w:t xml:space="preserve">. In Austria for example, </w:t>
      </w:r>
      <w:r>
        <w:t>the</w:t>
      </w:r>
      <w:r w:rsidRPr="004D1040">
        <w:t xml:space="preserve"> 'Outstanding Artist Award for Intercultural Dialogue'</w:t>
      </w:r>
      <w:r w:rsidR="00E73A53">
        <w:t xml:space="preserve"> </w:t>
      </w:r>
      <w:r>
        <w:t>is</w:t>
      </w:r>
      <w:r w:rsidRPr="004D1040">
        <w:t xml:space="preserve"> awarded for artistic and cultural achievements that contribute to dialogue and the understanding of people from different countries of origin living in Austria.</w:t>
      </w:r>
      <w:r w:rsidR="007535AB">
        <w:t xml:space="preserve"> </w:t>
      </w:r>
      <w:r w:rsidR="007535AB" w:rsidRPr="007535AB">
        <w:t xml:space="preserve">In </w:t>
      </w:r>
      <w:r w:rsidR="007535AB">
        <w:t>France,</w:t>
      </w:r>
      <w:r w:rsidR="007535AB" w:rsidRPr="007535AB">
        <w:t xml:space="preserve"> a specific taskforce was created</w:t>
      </w:r>
      <w:r w:rsidR="007535AB">
        <w:t xml:space="preserve"> in 2004 –  Mission Vivre Ensemble –</w:t>
      </w:r>
      <w:r w:rsidR="007535AB" w:rsidRPr="007535AB">
        <w:t xml:space="preserve"> which gathered 32 cultural institutions to work for the inclusion and participation of unfamiliar audiences to culture. Additionally, many festivals and events celebrate foreign cultures everywhere in France. It is estimated that 5</w:t>
      </w:r>
      <w:r w:rsidR="009B1E62">
        <w:t>,</w:t>
      </w:r>
      <w:r w:rsidR="007535AB" w:rsidRPr="007535AB">
        <w:t>000 festivities and events relate to the issue of immigration, but are systematically open to everyone, according to the French law and conception of citizenship.</w:t>
      </w:r>
    </w:p>
    <w:p w14:paraId="353FF78C" w14:textId="77777777" w:rsidR="000E1D9B" w:rsidRDefault="000E1D9B"/>
    <w:p w14:paraId="132AD6F2" w14:textId="036C8B32" w:rsidR="00D84ADC" w:rsidRPr="00D84ADC" w:rsidRDefault="00E96EC7" w:rsidP="006E03F1">
      <w:pPr>
        <w:rPr>
          <w:lang w:val="en-US"/>
        </w:rPr>
      </w:pPr>
      <w:r>
        <w:t xml:space="preserve">Gender equality is also on the cultural agenda of many countries, with some </w:t>
      </w:r>
      <w:r w:rsidR="00C53F52">
        <w:t xml:space="preserve">particularly noteworthy </w:t>
      </w:r>
      <w:r w:rsidR="00C53F52" w:rsidRPr="004D1040">
        <w:rPr>
          <w:u w:val="single"/>
        </w:rPr>
        <w:t>initiatives that support women arts professionals</w:t>
      </w:r>
      <w:r w:rsidR="00C53F52">
        <w:t xml:space="preserve">. </w:t>
      </w:r>
      <w:r w:rsidR="004D1040">
        <w:t xml:space="preserve">In Austria, a mentoring programme by female artists for artists, whose core idea is the transfer of expertise from </w:t>
      </w:r>
      <w:r w:rsidR="004D1040">
        <w:lastRenderedPageBreak/>
        <w:t>experienced, established female artists to younger, up-and-coming artists has been further developed after excellent results. Mentoring pairs were established in the branches of video and media art, fine art, fashion, artistic photography, performance, music, performing arts, film and literature.</w:t>
      </w:r>
      <w:r w:rsidR="007535AB">
        <w:t xml:space="preserve"> </w:t>
      </w:r>
      <w:r w:rsidR="00D84ADC">
        <w:t xml:space="preserve">In Germany, the </w:t>
      </w:r>
      <w:proofErr w:type="spellStart"/>
      <w:r w:rsidR="00D84ADC" w:rsidRPr="00D84ADC">
        <w:rPr>
          <w:lang w:val="en-US"/>
        </w:rPr>
        <w:t>Goldrausch</w:t>
      </w:r>
      <w:proofErr w:type="spellEnd"/>
      <w:r w:rsidR="00D84ADC" w:rsidRPr="00D84ADC">
        <w:rPr>
          <w:lang w:val="en-US"/>
        </w:rPr>
        <w:t xml:space="preserve"> </w:t>
      </w:r>
      <w:proofErr w:type="spellStart"/>
      <w:r w:rsidR="00D84ADC" w:rsidRPr="00D84ADC">
        <w:rPr>
          <w:lang w:val="en-US"/>
        </w:rPr>
        <w:t>Künstlerinnenprojekt</w:t>
      </w:r>
      <w:proofErr w:type="spellEnd"/>
      <w:r w:rsidR="00D84ADC" w:rsidRPr="00D84ADC">
        <w:rPr>
          <w:lang w:val="en-US"/>
        </w:rPr>
        <w:t xml:space="preserve"> is a comprehensive </w:t>
      </w:r>
      <w:proofErr w:type="spellStart"/>
      <w:r w:rsidR="00D84ADC" w:rsidRPr="00D84ADC">
        <w:rPr>
          <w:lang w:val="en-US"/>
        </w:rPr>
        <w:t>programme</w:t>
      </w:r>
      <w:proofErr w:type="spellEnd"/>
      <w:r w:rsidR="00D84ADC" w:rsidRPr="00D84ADC">
        <w:rPr>
          <w:lang w:val="en-US"/>
        </w:rPr>
        <w:t xml:space="preserve"> devoted to the </w:t>
      </w:r>
      <w:proofErr w:type="spellStart"/>
      <w:r w:rsidR="00D84ADC" w:rsidRPr="00D84ADC">
        <w:rPr>
          <w:lang w:val="en-US"/>
        </w:rPr>
        <w:t>professionalisation</w:t>
      </w:r>
      <w:proofErr w:type="spellEnd"/>
      <w:r w:rsidR="00D84ADC" w:rsidRPr="00D84ADC">
        <w:rPr>
          <w:lang w:val="en-US"/>
        </w:rPr>
        <w:t xml:space="preserve"> of women in the arts.</w:t>
      </w:r>
      <w:r w:rsidR="0032122A">
        <w:rPr>
          <w:lang w:val="en-US"/>
        </w:rPr>
        <w:t xml:space="preserve"> The</w:t>
      </w:r>
      <w:r w:rsidR="00D84ADC" w:rsidRPr="00D84ADC">
        <w:rPr>
          <w:lang w:val="en-US"/>
        </w:rPr>
        <w:t xml:space="preserve"> one-year </w:t>
      </w:r>
      <w:r w:rsidR="006E03F1">
        <w:rPr>
          <w:lang w:val="en-US"/>
        </w:rPr>
        <w:t xml:space="preserve">postgraduate </w:t>
      </w:r>
      <w:r w:rsidR="00D84ADC" w:rsidRPr="00D84ADC">
        <w:rPr>
          <w:lang w:val="en-US"/>
        </w:rPr>
        <w:t xml:space="preserve">course </w:t>
      </w:r>
      <w:r w:rsidR="006E03F1">
        <w:rPr>
          <w:lang w:val="en-US"/>
        </w:rPr>
        <w:t xml:space="preserve">addresses the facts that </w:t>
      </w:r>
      <w:r w:rsidR="006E03F1" w:rsidRPr="006E03F1">
        <w:rPr>
          <w:lang w:val="en-US"/>
        </w:rPr>
        <w:t>women artists and their achievements are still underrepresented in the public sphere.</w:t>
      </w:r>
      <w:r w:rsidR="006E03F1">
        <w:rPr>
          <w:lang w:val="en-US"/>
        </w:rPr>
        <w:t xml:space="preserve"> </w:t>
      </w:r>
      <w:r w:rsidR="00D84ADC" w:rsidRPr="00D84ADC">
        <w:rPr>
          <w:lang w:val="en-US"/>
        </w:rPr>
        <w:t>The goal is for each partic</w:t>
      </w:r>
      <w:r w:rsidR="006E03F1">
        <w:rPr>
          <w:lang w:val="en-US"/>
        </w:rPr>
        <w:t>ipant to develop skills for confidently managing a career in the fine arts. Germany also awards the</w:t>
      </w:r>
      <w:r w:rsidR="00B45B81">
        <w:rPr>
          <w:lang w:val="en-US"/>
        </w:rPr>
        <w:t xml:space="preserve"> prestigious </w:t>
      </w:r>
      <w:r w:rsidR="006E03F1">
        <w:rPr>
          <w:lang w:val="en-US"/>
        </w:rPr>
        <w:t xml:space="preserve">‘Gabriele </w:t>
      </w:r>
      <w:proofErr w:type="spellStart"/>
      <w:r w:rsidR="006E03F1">
        <w:rPr>
          <w:lang w:val="en-US"/>
        </w:rPr>
        <w:t>Münter</w:t>
      </w:r>
      <w:proofErr w:type="spellEnd"/>
      <w:r w:rsidR="006E03F1">
        <w:rPr>
          <w:lang w:val="en-US"/>
        </w:rPr>
        <w:t xml:space="preserve"> Prize’ for </w:t>
      </w:r>
      <w:r w:rsidR="006E03F1" w:rsidRPr="005A7766">
        <w:rPr>
          <w:lang w:val="en-US"/>
        </w:rPr>
        <w:t>professional women artists over the age of 40</w:t>
      </w:r>
      <w:r w:rsidR="006E03F1">
        <w:rPr>
          <w:lang w:val="en-US"/>
        </w:rPr>
        <w:t xml:space="preserve"> and is home to GEDOK,</w:t>
      </w:r>
      <w:r w:rsidR="006E03F1" w:rsidRPr="005A7766">
        <w:rPr>
          <w:lang w:val="en-US"/>
        </w:rPr>
        <w:t xml:space="preserve"> the largest interdisciplinary association of women artists in Europe</w:t>
      </w:r>
      <w:r w:rsidR="006E03F1">
        <w:rPr>
          <w:lang w:val="en-US"/>
        </w:rPr>
        <w:t>.</w:t>
      </w:r>
    </w:p>
    <w:p w14:paraId="484A2BD8" w14:textId="77777777" w:rsidR="004D1040" w:rsidRDefault="004D1040" w:rsidP="004D1040"/>
    <w:p w14:paraId="6A45B361" w14:textId="175404B3" w:rsidR="006E03F1" w:rsidRPr="006B409A" w:rsidRDefault="009822DD" w:rsidP="006B409A">
      <w:pPr>
        <w:rPr>
          <w:lang w:val="en-US"/>
        </w:rPr>
      </w:pPr>
      <w:r w:rsidRPr="00F84E66">
        <w:rPr>
          <w:u w:val="single"/>
        </w:rPr>
        <w:t>Arts education</w:t>
      </w:r>
      <w:r>
        <w:t xml:space="preserve"> in p</w:t>
      </w:r>
      <w:r w:rsidR="00F84E66">
        <w:t xml:space="preserve">rimary and secondary schools appears to be a contested territory in many countries. </w:t>
      </w:r>
      <w:r w:rsidR="006018F6">
        <w:t>To address some of the problems, the Netherlands have introduced the</w:t>
      </w:r>
      <w:r w:rsidR="00733EF4">
        <w:t xml:space="preserve"> </w:t>
      </w:r>
      <w:r w:rsidR="006018F6" w:rsidRPr="006018F6">
        <w:t>'Cultural education with quality'</w:t>
      </w:r>
      <w:r w:rsidR="006018F6">
        <w:t xml:space="preserve"> programme</w:t>
      </w:r>
      <w:r w:rsidR="006018F6" w:rsidRPr="006018F6">
        <w:t xml:space="preserve">, carried out by the Fund for Cultural Participation, </w:t>
      </w:r>
      <w:r w:rsidR="006018F6">
        <w:t>which aims</w:t>
      </w:r>
      <w:r w:rsidR="006018F6" w:rsidRPr="006018F6">
        <w:t xml:space="preserve"> to strengthen the quality of cultural </w:t>
      </w:r>
      <w:r w:rsidR="00A618DE">
        <w:t>education in primary education.</w:t>
      </w:r>
      <w:r w:rsidR="006B409A" w:rsidRPr="006B409A">
        <w:rPr>
          <w:lang w:val="en-US"/>
        </w:rPr>
        <w:t> </w:t>
      </w:r>
      <w:r w:rsidR="006B409A">
        <w:rPr>
          <w:lang w:val="en-US"/>
        </w:rPr>
        <w:t>The scheme aims to stimulate</w:t>
      </w:r>
      <w:r w:rsidR="006B409A" w:rsidRPr="006B409A">
        <w:rPr>
          <w:lang w:val="en-US"/>
        </w:rPr>
        <w:t xml:space="preserve"> connections between schools and their cultural environments</w:t>
      </w:r>
      <w:r w:rsidR="006B409A">
        <w:rPr>
          <w:lang w:val="en-US"/>
        </w:rPr>
        <w:t xml:space="preserve"> and to increase the skills of teaching professionals</w:t>
      </w:r>
      <w:r w:rsidR="006B409A" w:rsidRPr="006B409A">
        <w:rPr>
          <w:lang w:val="en-US"/>
        </w:rPr>
        <w:t>.</w:t>
      </w:r>
      <w:r w:rsidR="006B409A">
        <w:rPr>
          <w:lang w:val="en-US"/>
        </w:rPr>
        <w:t xml:space="preserve"> </w:t>
      </w:r>
      <w:r w:rsidR="006018F6" w:rsidRPr="006018F6">
        <w:t xml:space="preserve">The </w:t>
      </w:r>
      <w:r w:rsidR="006B409A">
        <w:t>state</w:t>
      </w:r>
      <w:r w:rsidR="006018F6" w:rsidRPr="006018F6">
        <w:t xml:space="preserve"> will invest EUR 10 million through the fund annually and municipalities and provinces will </w:t>
      </w:r>
      <w:r w:rsidR="006B409A">
        <w:t xml:space="preserve">be expected to </w:t>
      </w:r>
      <w:r w:rsidR="006018F6" w:rsidRPr="006018F6">
        <w:t>match this amount.</w:t>
      </w:r>
      <w:r w:rsidR="006018F6">
        <w:t xml:space="preserve"> </w:t>
      </w:r>
      <w:r w:rsidR="001B46B6">
        <w:t xml:space="preserve">In Austria, </w:t>
      </w:r>
      <w:proofErr w:type="spellStart"/>
      <w:r w:rsidR="001B46B6">
        <w:t>KulturKontakt</w:t>
      </w:r>
      <w:proofErr w:type="spellEnd"/>
      <w:r w:rsidR="001B46B6">
        <w:t xml:space="preserve"> is a non-profit</w:t>
      </w:r>
      <w:r w:rsidR="001B46B6" w:rsidRPr="001B46B6">
        <w:t xml:space="preserve"> European competence and resource centre for cultural education in Austrian schools and international educational cooperation particularly with Eastern and Southeast Europe. It supports cooperation between schools, cultural professio</w:t>
      </w:r>
      <w:r w:rsidR="001B46B6">
        <w:t>nals and cultural institutions and also ru</w:t>
      </w:r>
      <w:r w:rsidR="001B46B6" w:rsidRPr="001B46B6">
        <w:t>ns Artist-in</w:t>
      </w:r>
      <w:r w:rsidR="005B09C7">
        <w:t xml:space="preserve"> </w:t>
      </w:r>
      <w:r w:rsidR="001B46B6" w:rsidRPr="001B46B6">
        <w:t>Residence programme</w:t>
      </w:r>
      <w:r w:rsidR="005B09C7">
        <w:t>s</w:t>
      </w:r>
      <w:r w:rsidR="001B46B6" w:rsidRPr="001B46B6">
        <w:t xml:space="preserve"> for artists from abroad. The principal funding bodies of </w:t>
      </w:r>
      <w:proofErr w:type="spellStart"/>
      <w:r w:rsidR="001B46B6" w:rsidRPr="001B46B6">
        <w:t>KulturKontakt</w:t>
      </w:r>
      <w:proofErr w:type="spellEnd"/>
      <w:r w:rsidR="001B46B6" w:rsidRPr="001B46B6">
        <w:t xml:space="preserve"> are the Austrian Federal Ministry of Education and the Austrian Federal Chancellery.</w:t>
      </w:r>
    </w:p>
    <w:p w14:paraId="58E666D2" w14:textId="77777777" w:rsidR="0040466F" w:rsidRDefault="0040466F">
      <w:pPr>
        <w:rPr>
          <w:b/>
        </w:rPr>
      </w:pPr>
    </w:p>
    <w:p w14:paraId="62DFED4D" w14:textId="2F695887" w:rsidR="00926191" w:rsidRDefault="00F10376">
      <w:pPr>
        <w:rPr>
          <w:lang w:val="en-US"/>
        </w:rPr>
      </w:pPr>
      <w:r w:rsidRPr="00F10376">
        <w:rPr>
          <w:u w:val="double"/>
        </w:rPr>
        <w:t>In the UK</w:t>
      </w:r>
      <w:r>
        <w:t>, t</w:t>
      </w:r>
      <w:r w:rsidRPr="00F10376">
        <w:t xml:space="preserve">he Department for Culture, Media and Sport seeks to ensure that cultural diversity is considered in all its areas of activity. </w:t>
      </w:r>
      <w:r w:rsidR="00E9154F">
        <w:t>Promoting cultural dialogue</w:t>
      </w:r>
      <w:r w:rsidRPr="00F10376">
        <w:t xml:space="preserve"> is also one of the core ambitions of all four national Arts Councils and is integrated into their day to day work, with the aim of encouraging an environment where the arts reflect the full range and diversity of contemporary society, ensuring that everyone has access to quality arts activity.</w:t>
      </w:r>
      <w:r w:rsidR="00E9154F">
        <w:t xml:space="preserve"> The Arts Council England, for example, has commissioned a range of reports in recent years on the state of diversity within the cultural sector and has used the findings to inform cultural policy. </w:t>
      </w:r>
      <w:r w:rsidR="00391BF5">
        <w:t xml:space="preserve">Creative Scotland provides a toolkit </w:t>
      </w:r>
      <w:r w:rsidR="0004101D">
        <w:t xml:space="preserve">and various other resources </w:t>
      </w:r>
      <w:r w:rsidR="00391BF5">
        <w:t xml:space="preserve">for embedding equalities, diversity and inclusion policies within cultural organisations. </w:t>
      </w:r>
      <w:r w:rsidR="0046693A">
        <w:t xml:space="preserve">In the field of cultural education, </w:t>
      </w:r>
      <w:r w:rsidR="0046693A" w:rsidRPr="0046693A">
        <w:rPr>
          <w:lang w:val="en-US"/>
        </w:rPr>
        <w:t xml:space="preserve">Creative Partnerships </w:t>
      </w:r>
      <w:r w:rsidR="0046693A">
        <w:rPr>
          <w:lang w:val="en-US"/>
        </w:rPr>
        <w:t>was</w:t>
      </w:r>
      <w:r w:rsidR="0046693A" w:rsidRPr="0046693A">
        <w:rPr>
          <w:lang w:val="en-US"/>
        </w:rPr>
        <w:t xml:space="preserve"> the UK's flagship creative learning </w:t>
      </w:r>
      <w:proofErr w:type="spellStart"/>
      <w:r w:rsidR="0046693A" w:rsidRPr="0046693A">
        <w:rPr>
          <w:lang w:val="en-US"/>
        </w:rPr>
        <w:t>programme</w:t>
      </w:r>
      <w:proofErr w:type="spellEnd"/>
      <w:r w:rsidR="0046693A">
        <w:rPr>
          <w:lang w:val="en-US"/>
        </w:rPr>
        <w:t xml:space="preserve"> for many years. </w:t>
      </w:r>
      <w:r w:rsidR="0046693A" w:rsidRPr="0046693A">
        <w:rPr>
          <w:lang w:val="en-US"/>
        </w:rPr>
        <w:t xml:space="preserve">It supported thousands of innovative, long term partnerships between schools and creative professionals. As a result, schools in England saw significant improvements in pupil attendance, </w:t>
      </w:r>
      <w:proofErr w:type="spellStart"/>
      <w:r w:rsidR="0046693A" w:rsidRPr="0046693A">
        <w:rPr>
          <w:lang w:val="en-US"/>
        </w:rPr>
        <w:t>behaviour</w:t>
      </w:r>
      <w:proofErr w:type="spellEnd"/>
      <w:r w:rsidR="0046693A" w:rsidRPr="0046693A">
        <w:rPr>
          <w:lang w:val="en-US"/>
        </w:rPr>
        <w:t xml:space="preserve"> and attainment, as well as in parental engagement. In 2010, facing huge cuts in Government funding, Arts Council England withdrew support for the Creative Partnerships </w:t>
      </w:r>
      <w:proofErr w:type="spellStart"/>
      <w:r w:rsidR="0046693A" w:rsidRPr="0046693A">
        <w:rPr>
          <w:lang w:val="en-US"/>
        </w:rPr>
        <w:t>programme</w:t>
      </w:r>
      <w:proofErr w:type="spellEnd"/>
      <w:r w:rsidR="0046693A" w:rsidRPr="0046693A">
        <w:rPr>
          <w:lang w:val="en-US"/>
        </w:rPr>
        <w:t xml:space="preserve">. Although there is now no formal support for creative learning in England, schools continue to develop </w:t>
      </w:r>
      <w:proofErr w:type="spellStart"/>
      <w:r w:rsidR="0046693A" w:rsidRPr="0046693A">
        <w:rPr>
          <w:lang w:val="en-US"/>
        </w:rPr>
        <w:t>programmes</w:t>
      </w:r>
      <w:proofErr w:type="spellEnd"/>
      <w:r w:rsidR="0046693A" w:rsidRPr="0046693A">
        <w:rPr>
          <w:lang w:val="en-US"/>
        </w:rPr>
        <w:t xml:space="preserve"> based on the approaches developed.</w:t>
      </w:r>
    </w:p>
    <w:p w14:paraId="5276B778" w14:textId="146E51E0" w:rsidR="0004101D" w:rsidRPr="0046693A" w:rsidRDefault="00926191" w:rsidP="00036309">
      <w:pPr>
        <w:spacing w:line="240" w:lineRule="auto"/>
        <w:rPr>
          <w:lang w:val="en-US"/>
        </w:rPr>
      </w:pPr>
      <w:r>
        <w:rPr>
          <w:lang w:val="en-US"/>
        </w:rPr>
        <w:br w:type="page"/>
      </w:r>
    </w:p>
    <w:p w14:paraId="41A826E2" w14:textId="24EB908D" w:rsidR="001D4C96" w:rsidRDefault="003020DE" w:rsidP="009D7617">
      <w:pPr>
        <w:pStyle w:val="Heading1"/>
      </w:pPr>
      <w:bookmarkStart w:id="8" w:name="_Toc503362525"/>
      <w:r>
        <w:lastRenderedPageBreak/>
        <w:t xml:space="preserve">CASE STUDY: </w:t>
      </w:r>
      <w:r w:rsidR="00360333">
        <w:t>BEST PRACTICES IN THREE KEY GEOGRAPHICAL AREAS</w:t>
      </w:r>
      <w:bookmarkEnd w:id="8"/>
    </w:p>
    <w:p w14:paraId="7BD64A08" w14:textId="77777777" w:rsidR="00560BCD" w:rsidRDefault="00560BCD" w:rsidP="0099478A">
      <w:pPr>
        <w:rPr>
          <w:b/>
        </w:rPr>
      </w:pPr>
    </w:p>
    <w:p w14:paraId="5C78E5EC" w14:textId="57E34FCE" w:rsidR="0099478A" w:rsidRDefault="0099478A" w:rsidP="0099478A">
      <w:r>
        <w:t>The surveys undertaken suggest that</w:t>
      </w:r>
      <w:r w:rsidRPr="0099478A">
        <w:t xml:space="preserve"> visual arts practitioners in Scotland do </w:t>
      </w:r>
      <w:r>
        <w:t>look to other</w:t>
      </w:r>
      <w:r w:rsidRPr="0099478A">
        <w:t xml:space="preserve"> countries as a benchmark</w:t>
      </w:r>
      <w:r>
        <w:t xml:space="preserve"> for cultural policies.</w:t>
      </w:r>
      <w:r w:rsidRPr="0099478A">
        <w:t xml:space="preserve"> </w:t>
      </w:r>
      <w:r>
        <w:t xml:space="preserve">Some of the key </w:t>
      </w:r>
      <w:r w:rsidR="00D816AE">
        <w:t>areas mentioned are</w:t>
      </w:r>
      <w:r w:rsidRPr="0099478A">
        <w:t xml:space="preserve"> </w:t>
      </w:r>
      <w:r w:rsidR="00D816AE">
        <w:t xml:space="preserve">the </w:t>
      </w:r>
      <w:r w:rsidRPr="0099478A">
        <w:t xml:space="preserve">Nordic countries, Germany, </w:t>
      </w:r>
      <w:r w:rsidR="00D816AE">
        <w:t>and Canada, so a more in-depth overview of these regions will be provided below.</w:t>
      </w:r>
    </w:p>
    <w:p w14:paraId="5C4ECFBE" w14:textId="77777777" w:rsidR="0099478A" w:rsidRPr="0099478A" w:rsidRDefault="0099478A" w:rsidP="0099478A">
      <w:pPr>
        <w:rPr>
          <w:b/>
        </w:rPr>
      </w:pPr>
    </w:p>
    <w:p w14:paraId="675918E6" w14:textId="73E3A762" w:rsidR="006B4614" w:rsidRPr="006B4614" w:rsidRDefault="00C45D4E" w:rsidP="006B4614">
      <w:pPr>
        <w:pStyle w:val="Heading2"/>
      </w:pPr>
      <w:bookmarkStart w:id="9" w:name="_Toc503362526"/>
      <w:r w:rsidRPr="00360333">
        <w:t xml:space="preserve">Nordic </w:t>
      </w:r>
      <w:r w:rsidR="009D7617">
        <w:t>Region</w:t>
      </w:r>
      <w:bookmarkEnd w:id="9"/>
    </w:p>
    <w:p w14:paraId="2472B8FF" w14:textId="602FCD80" w:rsidR="007E4615" w:rsidRDefault="007E4615" w:rsidP="007E4615">
      <w:pPr>
        <w:pStyle w:val="Heading3"/>
      </w:pPr>
      <w:bookmarkStart w:id="10" w:name="_Toc503362527"/>
      <w:r>
        <w:t>Overview</w:t>
      </w:r>
      <w:bookmarkEnd w:id="10"/>
      <w:r>
        <w:t xml:space="preserve"> </w:t>
      </w:r>
    </w:p>
    <w:p w14:paraId="00460F83" w14:textId="612435B0" w:rsidR="006E78BC" w:rsidRDefault="00C45D4E" w:rsidP="006E78BC">
      <w:pPr>
        <w:rPr>
          <w:lang w:val="en-US"/>
        </w:rPr>
      </w:pPr>
      <w:r>
        <w:t xml:space="preserve">The Nordic </w:t>
      </w:r>
      <w:r w:rsidR="006E78BC">
        <w:t xml:space="preserve">region is joined together by a formal ‘Nordic co-operation’ initiative, which involves </w:t>
      </w:r>
      <w:r w:rsidR="006E78BC" w:rsidRPr="00CC118E">
        <w:rPr>
          <w:lang w:val="en-US"/>
        </w:rPr>
        <w:t>Denmark, Finland, Iceland, Norway and Sweden</w:t>
      </w:r>
      <w:r w:rsidR="006E78BC" w:rsidRPr="006E78BC">
        <w:rPr>
          <w:lang w:val="en-US"/>
        </w:rPr>
        <w:t xml:space="preserve"> as well as the Faroe Islands, Greenland and the </w:t>
      </w:r>
      <w:proofErr w:type="spellStart"/>
      <w:r w:rsidR="006E78BC" w:rsidRPr="006E78BC">
        <w:rPr>
          <w:lang w:val="en-US"/>
        </w:rPr>
        <w:t>Åland</w:t>
      </w:r>
      <w:proofErr w:type="spellEnd"/>
      <w:r w:rsidR="006E78BC" w:rsidRPr="006E78BC">
        <w:rPr>
          <w:lang w:val="en-US"/>
        </w:rPr>
        <w:t xml:space="preserve"> Islands.</w:t>
      </w:r>
      <w:r w:rsidR="003978CD">
        <w:rPr>
          <w:lang w:val="en-US"/>
        </w:rPr>
        <w:t xml:space="preserve"> It has its own Nordic Council and Nordic Council of Ministers which work together to foster regional development and synergies</w:t>
      </w:r>
      <w:r w:rsidR="00156B1B">
        <w:rPr>
          <w:lang w:val="en-US"/>
        </w:rPr>
        <w:t>. C</w:t>
      </w:r>
      <w:r w:rsidR="00156B1B" w:rsidRPr="00156B1B">
        <w:rPr>
          <w:lang w:val="en-US"/>
        </w:rPr>
        <w:t>ultural policy</w:t>
      </w:r>
      <w:r w:rsidR="00156B1B">
        <w:rPr>
          <w:lang w:val="en-US"/>
        </w:rPr>
        <w:t xml:space="preserve"> in the Nordic countries</w:t>
      </w:r>
      <w:r w:rsidR="00156B1B" w:rsidRPr="00156B1B">
        <w:rPr>
          <w:lang w:val="en-US"/>
        </w:rPr>
        <w:t xml:space="preserve"> is both </w:t>
      </w:r>
      <w:proofErr w:type="spellStart"/>
      <w:r w:rsidR="00156B1B" w:rsidRPr="00156B1B">
        <w:rPr>
          <w:lang w:val="en-US"/>
        </w:rPr>
        <w:t>centralised</w:t>
      </w:r>
      <w:proofErr w:type="spellEnd"/>
      <w:r w:rsidR="00156B1B" w:rsidRPr="00156B1B">
        <w:rPr>
          <w:lang w:val="en-US"/>
        </w:rPr>
        <w:t xml:space="preserve"> and </w:t>
      </w:r>
      <w:proofErr w:type="spellStart"/>
      <w:r w:rsidR="00156B1B" w:rsidRPr="00156B1B">
        <w:rPr>
          <w:lang w:val="en-US"/>
        </w:rPr>
        <w:t>decentralised</w:t>
      </w:r>
      <w:proofErr w:type="spellEnd"/>
      <w:r w:rsidR="00156B1B" w:rsidRPr="00156B1B">
        <w:rPr>
          <w:lang w:val="en-US"/>
        </w:rPr>
        <w:t xml:space="preserve">. </w:t>
      </w:r>
      <w:r w:rsidR="00156B1B">
        <w:rPr>
          <w:lang w:val="en-US"/>
        </w:rPr>
        <w:t>T</w:t>
      </w:r>
      <w:r w:rsidR="00156B1B" w:rsidRPr="00156B1B">
        <w:rPr>
          <w:lang w:val="en-US"/>
        </w:rPr>
        <w:t xml:space="preserve">he basis for cultural policy is mostly provided by the state, although considerable responsibilities for the shaping and implementation of cultural policy are delegated to local and regional authorities. </w:t>
      </w:r>
      <w:r w:rsidR="00156B1B">
        <w:rPr>
          <w:lang w:val="en-US"/>
        </w:rPr>
        <w:t>With respect to cultural expenditure t</w:t>
      </w:r>
      <w:r w:rsidR="00156B1B" w:rsidRPr="00156B1B">
        <w:rPr>
          <w:lang w:val="en-US"/>
        </w:rPr>
        <w:t xml:space="preserve">he national and municipal levels are the most important, with the regional level playing only a modest role. </w:t>
      </w:r>
      <w:r w:rsidR="00156B1B">
        <w:rPr>
          <w:lang w:val="en-US"/>
        </w:rPr>
        <w:t>Additionally, a</w:t>
      </w:r>
      <w:r w:rsidR="00156B1B" w:rsidRPr="00156B1B">
        <w:rPr>
          <w:lang w:val="en-US"/>
        </w:rPr>
        <w:t xml:space="preserve"> considerable amount of authority is also delegated to arm's length institutions and expert bodies</w:t>
      </w:r>
      <w:r w:rsidR="00156B1B">
        <w:rPr>
          <w:lang w:val="en-US"/>
        </w:rPr>
        <w:t xml:space="preserve"> that support cultural activities at national level, such as the Arts Council Norway or the Danish Arts Foundation. </w:t>
      </w:r>
      <w:r w:rsidR="0013640C">
        <w:rPr>
          <w:lang w:val="en-US"/>
        </w:rPr>
        <w:t xml:space="preserve">Nordic co-operation extends to promoting the culture of the Nordic countries outside the region through ambitious collaborative projects, such as the year-long Nordic Matters project which took place </w:t>
      </w:r>
      <w:r w:rsidR="006E2226">
        <w:rPr>
          <w:lang w:val="en-US"/>
        </w:rPr>
        <w:t xml:space="preserve">at the Southbank Centre </w:t>
      </w:r>
      <w:r w:rsidR="0013640C">
        <w:rPr>
          <w:lang w:val="en-US"/>
        </w:rPr>
        <w:t xml:space="preserve">in London in 2017. </w:t>
      </w:r>
      <w:r w:rsidR="006E2226">
        <w:rPr>
          <w:lang w:val="en-US"/>
        </w:rPr>
        <w:t xml:space="preserve">Featuring a wide </w:t>
      </w:r>
      <w:r w:rsidR="006E2226" w:rsidRPr="006E2226">
        <w:rPr>
          <w:lang w:val="en-US"/>
        </w:rPr>
        <w:t xml:space="preserve">variety of </w:t>
      </w:r>
      <w:r w:rsidR="006E2226">
        <w:rPr>
          <w:lang w:val="en-US"/>
        </w:rPr>
        <w:t xml:space="preserve">artistic and cultural events, it was supported by the </w:t>
      </w:r>
      <w:r w:rsidR="006E2226" w:rsidRPr="006E2226">
        <w:rPr>
          <w:lang w:val="en-US"/>
        </w:rPr>
        <w:t>Nordic Council of Ministers, the Nordic embassies in London and the n</w:t>
      </w:r>
      <w:r w:rsidR="006E2226">
        <w:rPr>
          <w:lang w:val="en-US"/>
        </w:rPr>
        <w:t>ational cultural agencies in each of</w:t>
      </w:r>
      <w:r w:rsidR="006E2226" w:rsidRPr="006E2226">
        <w:rPr>
          <w:lang w:val="en-US"/>
        </w:rPr>
        <w:t xml:space="preserve"> </w:t>
      </w:r>
      <w:r w:rsidR="006E2226">
        <w:rPr>
          <w:lang w:val="en-US"/>
        </w:rPr>
        <w:t>the</w:t>
      </w:r>
      <w:r w:rsidR="006E2226" w:rsidRPr="006E2226">
        <w:rPr>
          <w:lang w:val="en-US"/>
        </w:rPr>
        <w:t xml:space="preserve"> Nordic countries, Greenla</w:t>
      </w:r>
      <w:r w:rsidR="006E2226">
        <w:rPr>
          <w:lang w:val="en-US"/>
        </w:rPr>
        <w:t xml:space="preserve">nd, </w:t>
      </w:r>
      <w:proofErr w:type="spellStart"/>
      <w:r w:rsidR="006E2226">
        <w:rPr>
          <w:lang w:val="en-US"/>
        </w:rPr>
        <w:t>Åland</w:t>
      </w:r>
      <w:proofErr w:type="spellEnd"/>
      <w:r w:rsidR="006E2226">
        <w:rPr>
          <w:lang w:val="en-US"/>
        </w:rPr>
        <w:t xml:space="preserve"> and the Faroe Islands.</w:t>
      </w:r>
    </w:p>
    <w:p w14:paraId="44861409" w14:textId="77777777" w:rsidR="003978CD" w:rsidRDefault="003978CD" w:rsidP="006E78BC">
      <w:pPr>
        <w:rPr>
          <w:lang w:val="en-US"/>
        </w:rPr>
      </w:pPr>
    </w:p>
    <w:p w14:paraId="4FF1FB69" w14:textId="6D52C131" w:rsidR="00A865B3" w:rsidRDefault="003D0385" w:rsidP="006E78BC">
      <w:pPr>
        <w:rPr>
          <w:lang w:val="en-US"/>
        </w:rPr>
      </w:pPr>
      <w:r>
        <w:rPr>
          <w:lang w:val="en-US"/>
        </w:rPr>
        <w:t xml:space="preserve">The Nordic countries have </w:t>
      </w:r>
      <w:r w:rsidR="00104234">
        <w:rPr>
          <w:lang w:val="en-US"/>
        </w:rPr>
        <w:t xml:space="preserve">developed comprehensive </w:t>
      </w:r>
      <w:r w:rsidR="00104234" w:rsidRPr="00360333">
        <w:rPr>
          <w:u w:val="single"/>
          <w:lang w:val="en-US"/>
        </w:rPr>
        <w:t xml:space="preserve">social welfare </w:t>
      </w:r>
      <w:r w:rsidR="00946228" w:rsidRPr="00360333">
        <w:rPr>
          <w:u w:val="single"/>
          <w:lang w:val="en-US"/>
        </w:rPr>
        <w:t>policies</w:t>
      </w:r>
      <w:r w:rsidR="00946228">
        <w:rPr>
          <w:lang w:val="en-US"/>
        </w:rPr>
        <w:t xml:space="preserve">, which, although not directly aimed at the arts sector, have been an important source of support for artists and arts professionals with fluctuating incomes. </w:t>
      </w:r>
      <w:r w:rsidR="00233B12">
        <w:rPr>
          <w:lang w:val="en-US"/>
        </w:rPr>
        <w:t>Nonetheless, changes are afoot and in recent years government</w:t>
      </w:r>
      <w:r w:rsidR="00233B12" w:rsidRPr="00233B12">
        <w:rPr>
          <w:lang w:val="en-US"/>
        </w:rPr>
        <w:t xml:space="preserve"> policy </w:t>
      </w:r>
      <w:r w:rsidR="00233B12">
        <w:rPr>
          <w:lang w:val="en-US"/>
        </w:rPr>
        <w:t>has been shifting towards the so-called ‘work first principle’</w:t>
      </w:r>
      <w:r w:rsidR="00233B12" w:rsidRPr="00233B12">
        <w:rPr>
          <w:lang w:val="en-US"/>
        </w:rPr>
        <w:t>, redirecting the unemployed to employment in new lines of work.</w:t>
      </w:r>
      <w:r w:rsidR="00233B12">
        <w:rPr>
          <w:lang w:val="en-US"/>
        </w:rPr>
        <w:t xml:space="preserve"> In Sweden</w:t>
      </w:r>
      <w:r w:rsidR="00233B12" w:rsidRPr="00233B12">
        <w:rPr>
          <w:lang w:val="en-US"/>
        </w:rPr>
        <w:t xml:space="preserve">, changes in the unemployment insurance rules have been </w:t>
      </w:r>
      <w:proofErr w:type="spellStart"/>
      <w:r w:rsidR="00233B12" w:rsidRPr="00233B12">
        <w:rPr>
          <w:lang w:val="en-US"/>
        </w:rPr>
        <w:t>criticised</w:t>
      </w:r>
      <w:proofErr w:type="spellEnd"/>
      <w:r w:rsidR="00233B12" w:rsidRPr="00233B12">
        <w:rPr>
          <w:lang w:val="en-US"/>
        </w:rPr>
        <w:t xml:space="preserve"> as harmful to artists and other cultural professionals typically engaged on short-term employment contracts</w:t>
      </w:r>
      <w:r w:rsidR="00233B12">
        <w:rPr>
          <w:lang w:val="en-US"/>
        </w:rPr>
        <w:t xml:space="preserve"> which lead to repeated periods of unemployment</w:t>
      </w:r>
      <w:r w:rsidR="00233B12" w:rsidRPr="00233B12">
        <w:rPr>
          <w:lang w:val="en-US"/>
        </w:rPr>
        <w:t>.</w:t>
      </w:r>
    </w:p>
    <w:p w14:paraId="620E5415" w14:textId="77777777" w:rsidR="00A865B3" w:rsidRDefault="00A865B3" w:rsidP="006E78BC">
      <w:pPr>
        <w:rPr>
          <w:lang w:val="en-US"/>
        </w:rPr>
      </w:pPr>
    </w:p>
    <w:p w14:paraId="1E9E1B24" w14:textId="448F9790" w:rsidR="00E839DF" w:rsidRDefault="00233B12" w:rsidP="00E839DF">
      <w:pPr>
        <w:rPr>
          <w:lang w:val="en-US"/>
        </w:rPr>
      </w:pPr>
      <w:r>
        <w:rPr>
          <w:lang w:val="en-US"/>
        </w:rPr>
        <w:t xml:space="preserve">However, </w:t>
      </w:r>
      <w:r w:rsidR="00C83AD6">
        <w:rPr>
          <w:lang w:val="en-US"/>
        </w:rPr>
        <w:t xml:space="preserve">Sweden </w:t>
      </w:r>
      <w:r>
        <w:rPr>
          <w:lang w:val="en-US"/>
        </w:rPr>
        <w:t>has been a</w:t>
      </w:r>
      <w:r w:rsidR="00C83AD6">
        <w:rPr>
          <w:lang w:val="en-US"/>
        </w:rPr>
        <w:t xml:space="preserve"> pioneer in </w:t>
      </w:r>
      <w:r>
        <w:rPr>
          <w:lang w:val="en-US"/>
        </w:rPr>
        <w:t xml:space="preserve">respect of its </w:t>
      </w:r>
      <w:r w:rsidRPr="00360333">
        <w:rPr>
          <w:u w:val="single"/>
          <w:lang w:val="en-US"/>
        </w:rPr>
        <w:t>Exhibition Payment Rights (EPR)</w:t>
      </w:r>
      <w:r>
        <w:rPr>
          <w:lang w:val="en-US"/>
        </w:rPr>
        <w:t xml:space="preserve"> scheme, </w:t>
      </w:r>
      <w:r w:rsidR="00C83AD6">
        <w:rPr>
          <w:lang w:val="en-US"/>
        </w:rPr>
        <w:t>adopting the so-called MU agreement in 2009</w:t>
      </w:r>
      <w:r w:rsidR="00E839DF">
        <w:rPr>
          <w:lang w:val="en-US"/>
        </w:rPr>
        <w:t xml:space="preserve"> </w:t>
      </w:r>
      <w:r w:rsidR="00E839DF" w:rsidRPr="00E839DF">
        <w:rPr>
          <w:lang w:val="en-US"/>
        </w:rPr>
        <w:t>which covers payment</w:t>
      </w:r>
      <w:r w:rsidR="00E839DF">
        <w:rPr>
          <w:lang w:val="en-US"/>
        </w:rPr>
        <w:t xml:space="preserve"> to artists for display of work</w:t>
      </w:r>
      <w:r w:rsidR="00E839DF" w:rsidRPr="00E839DF">
        <w:rPr>
          <w:lang w:val="en-US"/>
        </w:rPr>
        <w:t>. This is additional to other kinds of financial compensation for an exhibition, such as transport, installation, publication, etc. The agreement makes it clear that all work the artist undertakes at exhibitions – before, during and after the show – is to be governed by a written contract and remunerated outside the framework of the exhibition fee.</w:t>
      </w:r>
      <w:r w:rsidR="00E839DF">
        <w:rPr>
          <w:lang w:val="en-US"/>
        </w:rPr>
        <w:t xml:space="preserve"> </w:t>
      </w:r>
      <w:r w:rsidR="00CD34B9">
        <w:rPr>
          <w:lang w:val="en-US"/>
        </w:rPr>
        <w:t xml:space="preserve">In </w:t>
      </w:r>
      <w:r w:rsidR="005C033C">
        <w:rPr>
          <w:lang w:val="en-US"/>
        </w:rPr>
        <w:t xml:space="preserve">2013, </w:t>
      </w:r>
      <w:r w:rsidR="00CD34B9">
        <w:rPr>
          <w:lang w:val="en-US"/>
        </w:rPr>
        <w:t xml:space="preserve">the </w:t>
      </w:r>
      <w:r w:rsidR="005C033C">
        <w:rPr>
          <w:lang w:val="en-US"/>
        </w:rPr>
        <w:t xml:space="preserve">Norwegian </w:t>
      </w:r>
      <w:r w:rsidR="00CD34B9">
        <w:rPr>
          <w:lang w:val="en-US"/>
        </w:rPr>
        <w:t xml:space="preserve">government introduced a pilot </w:t>
      </w:r>
      <w:proofErr w:type="spellStart"/>
      <w:r w:rsidR="00CD34B9">
        <w:rPr>
          <w:lang w:val="en-US"/>
        </w:rPr>
        <w:t>programme</w:t>
      </w:r>
      <w:proofErr w:type="spellEnd"/>
      <w:r w:rsidR="00CD34B9">
        <w:rPr>
          <w:lang w:val="en-US"/>
        </w:rPr>
        <w:t xml:space="preserve"> </w:t>
      </w:r>
      <w:r w:rsidR="005C033C">
        <w:rPr>
          <w:lang w:val="en-US"/>
        </w:rPr>
        <w:t xml:space="preserve">in a number of </w:t>
      </w:r>
      <w:r w:rsidR="00C07CBD">
        <w:rPr>
          <w:lang w:val="en-US"/>
        </w:rPr>
        <w:t>state-run institutions to test a remuneration agreem</w:t>
      </w:r>
      <w:r w:rsidR="005C033C">
        <w:rPr>
          <w:lang w:val="en-US"/>
        </w:rPr>
        <w:t xml:space="preserve">ent based on the Swedish model. Since then, 24 state-run museums and galleries have participated in the pilot </w:t>
      </w:r>
      <w:proofErr w:type="spellStart"/>
      <w:r w:rsidR="005C033C">
        <w:rPr>
          <w:lang w:val="en-US"/>
        </w:rPr>
        <w:t>programme</w:t>
      </w:r>
      <w:proofErr w:type="spellEnd"/>
      <w:r w:rsidR="005C033C">
        <w:rPr>
          <w:lang w:val="en-US"/>
        </w:rPr>
        <w:t xml:space="preserve"> and an evaluation of the </w:t>
      </w:r>
      <w:r w:rsidR="005C033C">
        <w:rPr>
          <w:lang w:val="en-US"/>
        </w:rPr>
        <w:lastRenderedPageBreak/>
        <w:t xml:space="preserve">project is under way which may result in the scheme being extended to all institutions financed by the state. </w:t>
      </w:r>
      <w:r w:rsidR="004B5233">
        <w:rPr>
          <w:lang w:val="en-US"/>
        </w:rPr>
        <w:t xml:space="preserve">In Finland and Iceland, although progress has been slower, working groups initiated by artists’ </w:t>
      </w:r>
      <w:proofErr w:type="spellStart"/>
      <w:r w:rsidR="004B5233">
        <w:rPr>
          <w:lang w:val="en-US"/>
        </w:rPr>
        <w:t>organisations</w:t>
      </w:r>
      <w:proofErr w:type="spellEnd"/>
      <w:r w:rsidR="004B5233">
        <w:rPr>
          <w:lang w:val="en-US"/>
        </w:rPr>
        <w:t xml:space="preserve"> are collaborating with policy makers to develop EPR agreements. </w:t>
      </w:r>
    </w:p>
    <w:p w14:paraId="540A5DE4" w14:textId="77777777" w:rsidR="004B5233" w:rsidRDefault="004B5233" w:rsidP="00E839DF">
      <w:pPr>
        <w:rPr>
          <w:lang w:val="en-US"/>
        </w:rPr>
      </w:pPr>
    </w:p>
    <w:p w14:paraId="6972A78B" w14:textId="151EC348" w:rsidR="003D7762" w:rsidRPr="003D7762" w:rsidRDefault="00D776F3" w:rsidP="003D7762">
      <w:pPr>
        <w:rPr>
          <w:lang w:val="en-US"/>
        </w:rPr>
      </w:pPr>
      <w:r>
        <w:rPr>
          <w:lang w:val="en-US"/>
        </w:rPr>
        <w:t xml:space="preserve">Some Nordic countries have supported artists through </w:t>
      </w:r>
      <w:r w:rsidRPr="00360333">
        <w:rPr>
          <w:u w:val="single"/>
          <w:lang w:val="en-US"/>
        </w:rPr>
        <w:t>tax legislation</w:t>
      </w:r>
      <w:r>
        <w:rPr>
          <w:lang w:val="en-US"/>
        </w:rPr>
        <w:t xml:space="preserve">. Denmark’s 2002 act on tax </w:t>
      </w:r>
      <w:proofErr w:type="spellStart"/>
      <w:r>
        <w:rPr>
          <w:lang w:val="en-US"/>
        </w:rPr>
        <w:t>equalisation</w:t>
      </w:r>
      <w:proofErr w:type="spellEnd"/>
      <w:r>
        <w:rPr>
          <w:lang w:val="en-US"/>
        </w:rPr>
        <w:t xml:space="preserve"> of income from artistic creation makes it possible for artists to split their income over different tax years in order to cope with fluctuations. Additionally, awards </w:t>
      </w:r>
      <w:r w:rsidRPr="00D776F3">
        <w:rPr>
          <w:lang w:val="en-US"/>
        </w:rPr>
        <w:t>given as a sign of rec</w:t>
      </w:r>
      <w:r>
        <w:rPr>
          <w:lang w:val="en-US"/>
        </w:rPr>
        <w:t xml:space="preserve">ognition of the artist's merits are tax </w:t>
      </w:r>
      <w:r w:rsidRPr="00D776F3">
        <w:rPr>
          <w:lang w:val="en-US"/>
        </w:rPr>
        <w:t>exempt</w:t>
      </w:r>
      <w:r>
        <w:rPr>
          <w:lang w:val="en-US"/>
        </w:rPr>
        <w:t>.</w:t>
      </w:r>
      <w:r w:rsidR="003D7762">
        <w:rPr>
          <w:lang w:val="en-US"/>
        </w:rPr>
        <w:t xml:space="preserve"> This can however lead to other difficulties, as exemplified in Finland where </w:t>
      </w:r>
      <w:r w:rsidR="003D7762" w:rsidRPr="003D7762">
        <w:rPr>
          <w:lang w:val="en-US"/>
        </w:rPr>
        <w:t>self-emplo</w:t>
      </w:r>
      <w:r w:rsidR="003D7762">
        <w:rPr>
          <w:lang w:val="en-US"/>
        </w:rPr>
        <w:t xml:space="preserve">yed artists and freelancers </w:t>
      </w:r>
      <w:r w:rsidR="003D7762" w:rsidRPr="003D7762">
        <w:rPr>
          <w:lang w:val="en-US"/>
        </w:rPr>
        <w:t xml:space="preserve">whose work has been financed for long periods by non-taxable grants </w:t>
      </w:r>
      <w:r w:rsidR="003D7762">
        <w:rPr>
          <w:lang w:val="en-US"/>
        </w:rPr>
        <w:t>have been unable to make pension and social security contributions</w:t>
      </w:r>
      <w:r w:rsidR="003D7762" w:rsidRPr="003D7762">
        <w:rPr>
          <w:lang w:val="en-US"/>
        </w:rPr>
        <w:t>. In 2009 a Bill was passed whereby self-employed artists and those on short-time grants are given an opportunity to enroll in the pension and social security systems of agricultural entrepreneurs.</w:t>
      </w:r>
      <w:r w:rsidR="003D7762">
        <w:rPr>
          <w:lang w:val="en-US"/>
        </w:rPr>
        <w:t xml:space="preserve"> Finland also has a comprehensive artists’ pension system which provides flat monthly payments to recipients. </w:t>
      </w:r>
    </w:p>
    <w:p w14:paraId="66BB7BAD" w14:textId="6D51F089" w:rsidR="003978CD" w:rsidRDefault="003978CD" w:rsidP="006E78BC">
      <w:pPr>
        <w:rPr>
          <w:lang w:val="en-US"/>
        </w:rPr>
      </w:pPr>
    </w:p>
    <w:p w14:paraId="461B1ABE" w14:textId="1C5389CF" w:rsidR="00360333" w:rsidRPr="00360333" w:rsidRDefault="006030F7" w:rsidP="00360333">
      <w:pPr>
        <w:rPr>
          <w:lang w:val="en-US"/>
        </w:rPr>
      </w:pPr>
      <w:r>
        <w:rPr>
          <w:lang w:val="en-US"/>
        </w:rPr>
        <w:t xml:space="preserve">Nordic countries are also known for their generous </w:t>
      </w:r>
      <w:r w:rsidRPr="00360333">
        <w:rPr>
          <w:u w:val="single"/>
          <w:lang w:val="en-US"/>
        </w:rPr>
        <w:t xml:space="preserve">funding </w:t>
      </w:r>
      <w:proofErr w:type="spellStart"/>
      <w:r w:rsidRPr="00360333">
        <w:rPr>
          <w:u w:val="single"/>
          <w:lang w:val="en-US"/>
        </w:rPr>
        <w:t>programmes</w:t>
      </w:r>
      <w:proofErr w:type="spellEnd"/>
      <w:r>
        <w:rPr>
          <w:lang w:val="en-US"/>
        </w:rPr>
        <w:t xml:space="preserve"> for artists</w:t>
      </w:r>
      <w:r w:rsidR="00C32298">
        <w:rPr>
          <w:lang w:val="en-US"/>
        </w:rPr>
        <w:t>, many of which include long-term schemes that provide increased financial security</w:t>
      </w:r>
      <w:r>
        <w:rPr>
          <w:lang w:val="en-US"/>
        </w:rPr>
        <w:t xml:space="preserve">. A regional body, the Nordic Culture Point, is part of Nordic Co-operation and has a wide range of grant schemes for encouraging mobility, networking, artist residencies, as well as the involvement of children and young people. </w:t>
      </w:r>
      <w:r w:rsidR="006C4BA8">
        <w:rPr>
          <w:lang w:val="en-US"/>
        </w:rPr>
        <w:t xml:space="preserve">Additionally, countries have their own </w:t>
      </w:r>
      <w:proofErr w:type="spellStart"/>
      <w:r w:rsidR="006C4BA8">
        <w:rPr>
          <w:lang w:val="en-US"/>
        </w:rPr>
        <w:t>organisatio</w:t>
      </w:r>
      <w:r w:rsidR="002F0207">
        <w:rPr>
          <w:lang w:val="en-US"/>
        </w:rPr>
        <w:t>n</w:t>
      </w:r>
      <w:r w:rsidR="006C4BA8">
        <w:rPr>
          <w:lang w:val="en-US"/>
        </w:rPr>
        <w:t>s</w:t>
      </w:r>
      <w:proofErr w:type="spellEnd"/>
      <w:r w:rsidR="006C4BA8">
        <w:rPr>
          <w:lang w:val="en-US"/>
        </w:rPr>
        <w:t xml:space="preserve"> that support the contemporary arts sector. One of the best known is Frame Contemporary Arts Finland, financed by the Finish Ministry of Education and culture. Frame s</w:t>
      </w:r>
      <w:r w:rsidR="006C4BA8" w:rsidRPr="006C4BA8">
        <w:rPr>
          <w:lang w:val="en-US"/>
        </w:rPr>
        <w:t>upports international projects, awards grants to artists and art professionals, facilitates professional partnerships</w:t>
      </w:r>
      <w:r w:rsidR="006C4BA8">
        <w:rPr>
          <w:lang w:val="en-US"/>
        </w:rPr>
        <w:t xml:space="preserve"> and exchanges</w:t>
      </w:r>
      <w:r w:rsidR="006C4BA8" w:rsidRPr="006C4BA8">
        <w:rPr>
          <w:lang w:val="en-US"/>
        </w:rPr>
        <w:t xml:space="preserve">, and acts as an information </w:t>
      </w:r>
      <w:proofErr w:type="spellStart"/>
      <w:r w:rsidR="006C4BA8" w:rsidRPr="006C4BA8">
        <w:rPr>
          <w:lang w:val="en-US"/>
        </w:rPr>
        <w:t>centre</w:t>
      </w:r>
      <w:proofErr w:type="spellEnd"/>
      <w:r w:rsidR="006C4BA8" w:rsidRPr="006C4BA8">
        <w:rPr>
          <w:lang w:val="en-US"/>
        </w:rPr>
        <w:t xml:space="preserve"> for Finnish contemporary art</w:t>
      </w:r>
      <w:r w:rsidR="006C4BA8">
        <w:rPr>
          <w:lang w:val="en-US"/>
        </w:rPr>
        <w:t xml:space="preserve">, as well as coordinating the country’s participation in the Venice Biennale. </w:t>
      </w:r>
      <w:r w:rsidR="00CE68A8" w:rsidRPr="00CE68A8">
        <w:rPr>
          <w:lang w:val="en-US"/>
        </w:rPr>
        <w:t>The Arts Promotion Centre Finland (</w:t>
      </w:r>
      <w:proofErr w:type="spellStart"/>
      <w:r w:rsidR="00CE68A8" w:rsidRPr="00CE68A8">
        <w:rPr>
          <w:lang w:val="en-US"/>
        </w:rPr>
        <w:t>Taike</w:t>
      </w:r>
      <w:proofErr w:type="spellEnd"/>
      <w:r w:rsidR="00CE68A8" w:rsidRPr="00CE68A8">
        <w:rPr>
          <w:lang w:val="en-US"/>
        </w:rPr>
        <w:t>)</w:t>
      </w:r>
      <w:r w:rsidR="00CE68A8">
        <w:rPr>
          <w:lang w:val="en-US"/>
        </w:rPr>
        <w:t xml:space="preserve"> is not focused solely on the visual arts, but provides </w:t>
      </w:r>
      <w:r w:rsidR="0068484E">
        <w:rPr>
          <w:lang w:val="en-US"/>
        </w:rPr>
        <w:t xml:space="preserve">a wide range of grants and subsidies for cultural professionals and </w:t>
      </w:r>
      <w:proofErr w:type="spellStart"/>
      <w:r w:rsidR="0068484E">
        <w:rPr>
          <w:lang w:val="en-US"/>
        </w:rPr>
        <w:t>organisations</w:t>
      </w:r>
      <w:proofErr w:type="spellEnd"/>
      <w:r w:rsidR="0068484E">
        <w:rPr>
          <w:lang w:val="en-US"/>
        </w:rPr>
        <w:t xml:space="preserve">, including non-project specific artist grants that can last from six months to five years. Recipients essentially receive a monthly ‘salary’, which includes contributions to pension and health insurance schemes. </w:t>
      </w:r>
      <w:r w:rsidR="00C32298">
        <w:rPr>
          <w:lang w:val="en-US"/>
        </w:rPr>
        <w:t xml:space="preserve">Norway’s government grants for artists, administered by the Arts Council Norway, include work grants that can last up to five years and grants for established and senior artists which are awarded for ten years. </w:t>
      </w:r>
      <w:r w:rsidR="00D36BFD" w:rsidRPr="00360333">
        <w:rPr>
          <w:lang w:val="en-US"/>
        </w:rPr>
        <w:t xml:space="preserve">An example of funding body that supports </w:t>
      </w:r>
      <w:r w:rsidR="00D36BFD" w:rsidRPr="00360333">
        <w:rPr>
          <w:u w:val="single"/>
          <w:lang w:val="en-US"/>
        </w:rPr>
        <w:t>cultural mobility</w:t>
      </w:r>
      <w:r w:rsidR="00D36BFD" w:rsidRPr="00360333">
        <w:rPr>
          <w:lang w:val="en-US"/>
        </w:rPr>
        <w:t xml:space="preserve"> is </w:t>
      </w:r>
      <w:proofErr w:type="spellStart"/>
      <w:r w:rsidR="00D36BFD" w:rsidRPr="00360333">
        <w:rPr>
          <w:lang w:val="en-US"/>
        </w:rPr>
        <w:t>Iaspis</w:t>
      </w:r>
      <w:proofErr w:type="spellEnd"/>
      <w:r w:rsidR="00D36BFD" w:rsidRPr="00360333">
        <w:rPr>
          <w:lang w:val="en-US"/>
        </w:rPr>
        <w:t xml:space="preserve">, </w:t>
      </w:r>
      <w:r w:rsidR="00D36BFD" w:rsidRPr="00360333">
        <w:rPr>
          <w:bCs/>
          <w:lang w:val="en-US"/>
        </w:rPr>
        <w:t xml:space="preserve">the Swedish Arts Grants Committee's international </w:t>
      </w:r>
      <w:proofErr w:type="spellStart"/>
      <w:r w:rsidR="00D36BFD" w:rsidRPr="00360333">
        <w:rPr>
          <w:bCs/>
          <w:lang w:val="en-US"/>
        </w:rPr>
        <w:t>programme</w:t>
      </w:r>
      <w:proofErr w:type="spellEnd"/>
      <w:r w:rsidR="00D36BFD" w:rsidRPr="00360333">
        <w:rPr>
          <w:bCs/>
          <w:lang w:val="en-US"/>
        </w:rPr>
        <w:t xml:space="preserve"> for Visual and Applied Artists. </w:t>
      </w:r>
      <w:proofErr w:type="spellStart"/>
      <w:r w:rsidR="00D36BFD" w:rsidRPr="00360333">
        <w:rPr>
          <w:bCs/>
          <w:lang w:val="en-US"/>
        </w:rPr>
        <w:t>Iaspis</w:t>
      </w:r>
      <w:proofErr w:type="spellEnd"/>
      <w:r w:rsidR="00D36BFD" w:rsidRPr="00360333">
        <w:rPr>
          <w:bCs/>
          <w:lang w:val="en-US"/>
        </w:rPr>
        <w:t xml:space="preserve"> offers residencies in Sweden and abroad, </w:t>
      </w:r>
      <w:r w:rsidR="00360333" w:rsidRPr="00360333">
        <w:rPr>
          <w:bCs/>
          <w:lang w:val="en-US"/>
        </w:rPr>
        <w:t xml:space="preserve">grants for travel and international exchanges for artists and curators, as well as a public </w:t>
      </w:r>
      <w:proofErr w:type="spellStart"/>
      <w:r w:rsidR="00360333" w:rsidRPr="00360333">
        <w:rPr>
          <w:bCs/>
          <w:lang w:val="en-US"/>
        </w:rPr>
        <w:t>programme</w:t>
      </w:r>
      <w:proofErr w:type="spellEnd"/>
      <w:r w:rsidR="00360333" w:rsidRPr="00360333">
        <w:rPr>
          <w:bCs/>
          <w:lang w:val="en-US"/>
        </w:rPr>
        <w:t xml:space="preserve"> of activities which, according to the </w:t>
      </w:r>
      <w:proofErr w:type="spellStart"/>
      <w:r w:rsidR="00360333">
        <w:rPr>
          <w:bCs/>
          <w:lang w:val="en-US"/>
        </w:rPr>
        <w:t>organis</w:t>
      </w:r>
      <w:r w:rsidR="00360333" w:rsidRPr="00360333">
        <w:rPr>
          <w:bCs/>
          <w:lang w:val="en-US"/>
        </w:rPr>
        <w:t>ation</w:t>
      </w:r>
      <w:proofErr w:type="spellEnd"/>
      <w:r w:rsidR="00360333" w:rsidRPr="00360333">
        <w:rPr>
          <w:bCs/>
          <w:lang w:val="en-US"/>
        </w:rPr>
        <w:t xml:space="preserve"> itself, ‘formulate and explore topical issues in contemporary visual art and design from an international perspective</w:t>
      </w:r>
      <w:r w:rsidR="00360333">
        <w:rPr>
          <w:bCs/>
          <w:lang w:val="en-US"/>
        </w:rPr>
        <w:t>’</w:t>
      </w:r>
      <w:r w:rsidR="00360333" w:rsidRPr="00360333">
        <w:rPr>
          <w:bCs/>
          <w:lang w:val="en-US"/>
        </w:rPr>
        <w:t>.</w:t>
      </w:r>
    </w:p>
    <w:p w14:paraId="5FCA23B3" w14:textId="1AA5CBCA" w:rsidR="00D36BFD" w:rsidRDefault="00D36BFD" w:rsidP="00D36BFD">
      <w:pPr>
        <w:rPr>
          <w:lang w:val="en-US"/>
        </w:rPr>
      </w:pPr>
    </w:p>
    <w:p w14:paraId="78DD2E07" w14:textId="4A4A0793" w:rsidR="001568CB" w:rsidRDefault="00425E06" w:rsidP="00D36BFD">
      <w:pPr>
        <w:rPr>
          <w:lang w:val="en-US"/>
        </w:rPr>
      </w:pPr>
      <w:r>
        <w:rPr>
          <w:u w:val="single"/>
          <w:lang w:val="en-US"/>
        </w:rPr>
        <w:t>Percent</w:t>
      </w:r>
      <w:r w:rsidR="00160681" w:rsidRPr="00160681">
        <w:rPr>
          <w:u w:val="single"/>
          <w:lang w:val="en-US"/>
        </w:rPr>
        <w:t xml:space="preserve"> for art schemes</w:t>
      </w:r>
      <w:r w:rsidR="00160681">
        <w:rPr>
          <w:lang w:val="en-US"/>
        </w:rPr>
        <w:t xml:space="preserve"> are </w:t>
      </w:r>
      <w:r w:rsidR="004232CB">
        <w:rPr>
          <w:lang w:val="en-US"/>
        </w:rPr>
        <w:t>widespread in</w:t>
      </w:r>
      <w:r w:rsidR="00160681">
        <w:rPr>
          <w:lang w:val="en-US"/>
        </w:rPr>
        <w:t xml:space="preserve"> the Nordic countries, </w:t>
      </w:r>
      <w:r w:rsidR="009450CD">
        <w:rPr>
          <w:lang w:val="en-US"/>
        </w:rPr>
        <w:t>stipulating</w:t>
      </w:r>
      <w:r w:rsidR="00160681">
        <w:rPr>
          <w:lang w:val="en-US"/>
        </w:rPr>
        <w:t xml:space="preserve"> that a certain percentage of </w:t>
      </w:r>
      <w:r w:rsidR="00160681" w:rsidRPr="00160681">
        <w:rPr>
          <w:lang w:val="en-US"/>
        </w:rPr>
        <w:t xml:space="preserve">the construction costs of public buildings </w:t>
      </w:r>
      <w:r w:rsidR="00160681">
        <w:rPr>
          <w:lang w:val="en-US"/>
        </w:rPr>
        <w:t xml:space="preserve">is invested </w:t>
      </w:r>
      <w:r w:rsidR="00160681" w:rsidRPr="00160681">
        <w:rPr>
          <w:lang w:val="en-US"/>
        </w:rPr>
        <w:t>in the acquisition of works of art</w:t>
      </w:r>
      <w:r w:rsidR="00160681">
        <w:rPr>
          <w:lang w:val="en-US"/>
        </w:rPr>
        <w:t xml:space="preserve">. Although such schemes are not uncommon in other European countries, </w:t>
      </w:r>
      <w:r w:rsidR="00743913">
        <w:rPr>
          <w:lang w:val="en-US"/>
        </w:rPr>
        <w:t xml:space="preserve">the Nordic initiatives go above and beyond similar </w:t>
      </w:r>
      <w:proofErr w:type="spellStart"/>
      <w:r w:rsidR="00743913">
        <w:rPr>
          <w:lang w:val="en-US"/>
        </w:rPr>
        <w:t>endeavours</w:t>
      </w:r>
      <w:proofErr w:type="spellEnd"/>
      <w:r w:rsidR="00743913">
        <w:rPr>
          <w:lang w:val="en-US"/>
        </w:rPr>
        <w:t>. In Sweden, the scheme has been expanded to include art in open public spaces and to increase the percentage allocation for buildings engaged in care. Thus, t</w:t>
      </w:r>
      <w:r w:rsidR="00743913" w:rsidRPr="00743913">
        <w:rPr>
          <w:lang w:val="en-US"/>
        </w:rPr>
        <w:t xml:space="preserve">he construction of Sweden’s new </w:t>
      </w:r>
      <w:proofErr w:type="spellStart"/>
      <w:r w:rsidR="00743913" w:rsidRPr="00743913">
        <w:rPr>
          <w:lang w:val="en-US"/>
        </w:rPr>
        <w:t>Karolinska</w:t>
      </w:r>
      <w:proofErr w:type="spellEnd"/>
      <w:r w:rsidR="00743913" w:rsidRPr="00743913">
        <w:rPr>
          <w:lang w:val="en-US"/>
        </w:rPr>
        <w:t xml:space="preserve"> Hospital has yielded an unprecedented budget of SEK 118 million to devote to public art between 2010 </w:t>
      </w:r>
      <w:r w:rsidR="00743913" w:rsidRPr="00743913">
        <w:rPr>
          <w:lang w:val="en-US"/>
        </w:rPr>
        <w:lastRenderedPageBreak/>
        <w:t>and 2017.</w:t>
      </w:r>
      <w:r w:rsidR="00743913">
        <w:rPr>
          <w:lang w:val="en-US"/>
        </w:rPr>
        <w:t xml:space="preserve"> </w:t>
      </w:r>
      <w:r w:rsidR="001C4D94">
        <w:rPr>
          <w:lang w:val="en-US"/>
        </w:rPr>
        <w:t xml:space="preserve">Norway has created KORO, a professional body that manages the percent for art scheme, as well as looking after the government’s collection of art in public spaces and offering training and professional networking for the artists and curators involved in its projects.  </w:t>
      </w:r>
    </w:p>
    <w:p w14:paraId="583BCA3D" w14:textId="77777777" w:rsidR="001568CB" w:rsidRDefault="001568CB" w:rsidP="00D36BFD">
      <w:pPr>
        <w:rPr>
          <w:lang w:val="en-US"/>
        </w:rPr>
      </w:pPr>
    </w:p>
    <w:p w14:paraId="422FE09A" w14:textId="3841FA43" w:rsidR="00667E56" w:rsidRPr="006B4614" w:rsidRDefault="00667E56" w:rsidP="00667E56">
      <w:pPr>
        <w:pStyle w:val="Heading3"/>
        <w:rPr>
          <w:lang w:val="en-US"/>
        </w:rPr>
      </w:pPr>
      <w:bookmarkStart w:id="11" w:name="_Toc503362528"/>
      <w:r w:rsidRPr="006B4614">
        <w:rPr>
          <w:lang w:val="en-US"/>
        </w:rPr>
        <w:t>Interviews</w:t>
      </w:r>
      <w:bookmarkEnd w:id="11"/>
    </w:p>
    <w:p w14:paraId="7A0E3B24" w14:textId="3BF19EF1" w:rsidR="001C5BBE" w:rsidRDefault="00E854F5" w:rsidP="002D22F9">
      <w:pPr>
        <w:rPr>
          <w:lang w:val="en-US"/>
        </w:rPr>
      </w:pPr>
      <w:r>
        <w:rPr>
          <w:lang w:val="en-US"/>
        </w:rPr>
        <w:t>Three</w:t>
      </w:r>
      <w:r w:rsidR="00667E56">
        <w:rPr>
          <w:lang w:val="en-US"/>
        </w:rPr>
        <w:t xml:space="preserve"> arts professionals were intervie</w:t>
      </w:r>
      <w:r>
        <w:rPr>
          <w:lang w:val="en-US"/>
        </w:rPr>
        <w:t xml:space="preserve">wed, bringing a variety of perspectives. </w:t>
      </w:r>
      <w:proofErr w:type="spellStart"/>
      <w:r w:rsidR="00C04C2D" w:rsidRPr="00C04C2D">
        <w:rPr>
          <w:lang w:val="en-US"/>
        </w:rPr>
        <w:t>Aukje</w:t>
      </w:r>
      <w:proofErr w:type="spellEnd"/>
      <w:r w:rsidR="00C04C2D" w:rsidRPr="00C04C2D">
        <w:rPr>
          <w:lang w:val="en-US"/>
        </w:rPr>
        <w:t xml:space="preserve"> </w:t>
      </w:r>
      <w:proofErr w:type="spellStart"/>
      <w:r w:rsidR="00C04C2D" w:rsidRPr="00C04C2D">
        <w:rPr>
          <w:lang w:val="en-US"/>
        </w:rPr>
        <w:t>Lepoutre</w:t>
      </w:r>
      <w:proofErr w:type="spellEnd"/>
      <w:r w:rsidR="00C04C2D" w:rsidRPr="00C04C2D">
        <w:rPr>
          <w:lang w:val="en-US"/>
        </w:rPr>
        <w:t xml:space="preserve"> </w:t>
      </w:r>
      <w:proofErr w:type="spellStart"/>
      <w:r w:rsidR="00C04C2D" w:rsidRPr="00C04C2D">
        <w:rPr>
          <w:lang w:val="en-US"/>
        </w:rPr>
        <w:t>Ravn</w:t>
      </w:r>
      <w:proofErr w:type="spellEnd"/>
      <w:r w:rsidR="004A145D">
        <w:rPr>
          <w:lang w:val="en-US"/>
        </w:rPr>
        <w:t xml:space="preserve"> is an art historian, writer and curator </w:t>
      </w:r>
      <w:r w:rsidR="002D22F9">
        <w:rPr>
          <w:lang w:val="en-US"/>
        </w:rPr>
        <w:t xml:space="preserve">who was recently involved with </w:t>
      </w:r>
      <w:r w:rsidR="00B4611E">
        <w:rPr>
          <w:lang w:val="en-US"/>
        </w:rPr>
        <w:t>Copenhagen</w:t>
      </w:r>
      <w:r w:rsidR="002D22F9">
        <w:rPr>
          <w:lang w:val="en-US"/>
        </w:rPr>
        <w:t>’s annual</w:t>
      </w:r>
      <w:r w:rsidR="00B4611E">
        <w:rPr>
          <w:lang w:val="en-US"/>
        </w:rPr>
        <w:t xml:space="preserve"> Arts Week. </w:t>
      </w:r>
      <w:r w:rsidR="002D22F9" w:rsidRPr="002D22F9">
        <w:rPr>
          <w:lang w:val="en-US"/>
        </w:rPr>
        <w:t xml:space="preserve">Agnes </w:t>
      </w:r>
      <w:proofErr w:type="spellStart"/>
      <w:r w:rsidR="002D22F9" w:rsidRPr="002D22F9">
        <w:rPr>
          <w:lang w:val="en-US"/>
        </w:rPr>
        <w:t>Nedregård</w:t>
      </w:r>
      <w:proofErr w:type="spellEnd"/>
      <w:r w:rsidR="002D22F9">
        <w:rPr>
          <w:lang w:val="en-US"/>
        </w:rPr>
        <w:t xml:space="preserve"> is a visual artist based </w:t>
      </w:r>
      <w:r w:rsidR="00F737E9">
        <w:rPr>
          <w:lang w:val="en-US"/>
        </w:rPr>
        <w:t xml:space="preserve">in </w:t>
      </w:r>
      <w:r w:rsidR="002D22F9">
        <w:rPr>
          <w:lang w:val="en-US"/>
        </w:rPr>
        <w:t>Norway</w:t>
      </w:r>
      <w:r w:rsidR="003E2501">
        <w:rPr>
          <w:lang w:val="en-US"/>
        </w:rPr>
        <w:t xml:space="preserve"> and the co-founder of the art group </w:t>
      </w:r>
      <w:r w:rsidR="003E2501" w:rsidRPr="003E2501">
        <w:rPr>
          <w:lang w:val="en-US"/>
        </w:rPr>
        <w:t xml:space="preserve">Alt </w:t>
      </w:r>
      <w:proofErr w:type="spellStart"/>
      <w:r w:rsidR="003E2501" w:rsidRPr="003E2501">
        <w:rPr>
          <w:lang w:val="en-US"/>
        </w:rPr>
        <w:t>Går</w:t>
      </w:r>
      <w:proofErr w:type="spellEnd"/>
      <w:r w:rsidR="003E2501" w:rsidRPr="003E2501">
        <w:rPr>
          <w:lang w:val="en-US"/>
        </w:rPr>
        <w:t xml:space="preserve"> Bra</w:t>
      </w:r>
      <w:r w:rsidR="003E2501">
        <w:rPr>
          <w:lang w:val="en-US"/>
        </w:rPr>
        <w:t xml:space="preserve">. </w:t>
      </w:r>
      <w:proofErr w:type="spellStart"/>
      <w:r w:rsidR="002D22F9">
        <w:rPr>
          <w:lang w:val="en-US"/>
        </w:rPr>
        <w:t>Mikkel</w:t>
      </w:r>
      <w:proofErr w:type="spellEnd"/>
      <w:r w:rsidR="002D22F9">
        <w:rPr>
          <w:lang w:val="en-US"/>
        </w:rPr>
        <w:t xml:space="preserve"> Carl </w:t>
      </w:r>
      <w:r w:rsidR="00764373">
        <w:rPr>
          <w:lang w:val="en-US"/>
        </w:rPr>
        <w:t xml:space="preserve">is a visual artist, </w:t>
      </w:r>
      <w:r w:rsidR="003F01A4">
        <w:rPr>
          <w:lang w:val="en-US"/>
        </w:rPr>
        <w:t xml:space="preserve">writer and </w:t>
      </w:r>
      <w:r w:rsidR="00764373">
        <w:rPr>
          <w:lang w:val="en-US"/>
        </w:rPr>
        <w:t xml:space="preserve">curator </w:t>
      </w:r>
      <w:r w:rsidR="003F01A4">
        <w:rPr>
          <w:lang w:val="en-US"/>
        </w:rPr>
        <w:t xml:space="preserve">based in Denmark. </w:t>
      </w:r>
      <w:r w:rsidR="00015B0A">
        <w:rPr>
          <w:lang w:val="en-US"/>
        </w:rPr>
        <w:t>The</w:t>
      </w:r>
      <w:r w:rsidR="001C5BBE">
        <w:rPr>
          <w:lang w:val="en-US"/>
        </w:rPr>
        <w:t xml:space="preserve"> expertise of our interviewees encompassed not only the conditions for freelance arts professionals in the Nordic region, but also several institutional perspectives, </w:t>
      </w:r>
      <w:r w:rsidR="00015B0A">
        <w:rPr>
          <w:lang w:val="en-US"/>
        </w:rPr>
        <w:t>such as</w:t>
      </w:r>
      <w:r w:rsidR="001C5BBE">
        <w:rPr>
          <w:lang w:val="en-US"/>
        </w:rPr>
        <w:t xml:space="preserve"> being involved in peer review for national grant-giving bodies. Below are </w:t>
      </w:r>
      <w:r w:rsidR="00DC408A">
        <w:rPr>
          <w:lang w:val="en-US"/>
        </w:rPr>
        <w:t>some</w:t>
      </w:r>
      <w:r w:rsidR="001C5BBE">
        <w:rPr>
          <w:lang w:val="en-US"/>
        </w:rPr>
        <w:t xml:space="preserve"> key points that emerged from these conversations.</w:t>
      </w:r>
    </w:p>
    <w:p w14:paraId="267F39D4" w14:textId="77777777" w:rsidR="001C5BBE" w:rsidRDefault="001C5BBE" w:rsidP="002D22F9">
      <w:pPr>
        <w:rPr>
          <w:lang w:val="en-US"/>
        </w:rPr>
      </w:pPr>
    </w:p>
    <w:p w14:paraId="46FDF3AC" w14:textId="654E45A0" w:rsidR="001C5BBE" w:rsidRDefault="00DC408A" w:rsidP="001C5BBE">
      <w:pPr>
        <w:pStyle w:val="ListParagraph"/>
        <w:numPr>
          <w:ilvl w:val="0"/>
          <w:numId w:val="8"/>
        </w:numPr>
        <w:rPr>
          <w:lang w:val="en-US"/>
        </w:rPr>
      </w:pPr>
      <w:r>
        <w:rPr>
          <w:lang w:val="en-US"/>
        </w:rPr>
        <w:t xml:space="preserve">Although there are many </w:t>
      </w:r>
      <w:r w:rsidRPr="0033368E">
        <w:rPr>
          <w:u w:val="single"/>
          <w:lang w:val="en-US"/>
        </w:rPr>
        <w:t xml:space="preserve">grant </w:t>
      </w:r>
      <w:proofErr w:type="spellStart"/>
      <w:r w:rsidRPr="0033368E">
        <w:rPr>
          <w:u w:val="single"/>
          <w:lang w:val="en-US"/>
        </w:rPr>
        <w:t>programmes</w:t>
      </w:r>
      <w:proofErr w:type="spellEnd"/>
      <w:r>
        <w:rPr>
          <w:lang w:val="en-US"/>
        </w:rPr>
        <w:t xml:space="preserve"> for artists, these are still competitive and </w:t>
      </w:r>
      <w:r w:rsidR="00ED2A2A">
        <w:rPr>
          <w:lang w:val="en-US"/>
        </w:rPr>
        <w:t>artists must be prepared to apply repeatedly. One of the interviewees revealed that at the beginning of their career only one in ten grant applications was successful, but experience and support from peers have helped to increased the</w:t>
      </w:r>
      <w:r w:rsidR="00015B0A">
        <w:rPr>
          <w:lang w:val="en-US"/>
        </w:rPr>
        <w:t>ir</w:t>
      </w:r>
      <w:r w:rsidR="00ED2A2A">
        <w:rPr>
          <w:lang w:val="en-US"/>
        </w:rPr>
        <w:t xml:space="preserve"> success rate.</w:t>
      </w:r>
      <w:r w:rsidR="0033368E">
        <w:rPr>
          <w:lang w:val="en-US"/>
        </w:rPr>
        <w:t xml:space="preserve"> </w:t>
      </w:r>
      <w:r w:rsidR="00DE75D2">
        <w:t xml:space="preserve">Another interviewee wondered whether this generous grant system is </w:t>
      </w:r>
      <w:r w:rsidR="00DE75D2" w:rsidRPr="0066051E">
        <w:t xml:space="preserve">sustaining artists who </w:t>
      </w:r>
      <w:r w:rsidR="0066051E">
        <w:t>may lack the</w:t>
      </w:r>
      <w:r w:rsidR="00DE75D2" w:rsidRPr="0066051E">
        <w:t xml:space="preserve"> </w:t>
      </w:r>
      <w:r w:rsidR="0066051E">
        <w:t xml:space="preserve">impetus </w:t>
      </w:r>
      <w:r w:rsidR="00DE75D2" w:rsidRPr="0066051E">
        <w:t>to sustain themselves</w:t>
      </w:r>
      <w:r w:rsidR="00DE75D2">
        <w:t xml:space="preserve"> and creating a project-focused cultural environment. </w:t>
      </w:r>
    </w:p>
    <w:p w14:paraId="1F0CA625" w14:textId="13B424F8" w:rsidR="0064006D" w:rsidRPr="001336C8" w:rsidRDefault="00ED2A2A" w:rsidP="001336C8">
      <w:pPr>
        <w:pStyle w:val="ListParagraph"/>
        <w:numPr>
          <w:ilvl w:val="0"/>
          <w:numId w:val="8"/>
        </w:numPr>
        <w:rPr>
          <w:lang w:val="en-US"/>
        </w:rPr>
      </w:pPr>
      <w:r w:rsidRPr="0033368E">
        <w:rPr>
          <w:u w:val="single"/>
          <w:lang w:val="en-US"/>
        </w:rPr>
        <w:t>Welfare conditions</w:t>
      </w:r>
      <w:r>
        <w:rPr>
          <w:lang w:val="en-US"/>
        </w:rPr>
        <w:t xml:space="preserve"> for freelance professionals can vary. A minimum state pension and access to healthcare are usually provided, however</w:t>
      </w:r>
      <w:r w:rsidR="00C05CB8">
        <w:rPr>
          <w:lang w:val="en-US"/>
        </w:rPr>
        <w:t xml:space="preserve"> </w:t>
      </w:r>
      <w:r w:rsidR="003C13D3">
        <w:rPr>
          <w:lang w:val="en-US"/>
        </w:rPr>
        <w:t>the</w:t>
      </w:r>
      <w:r w:rsidR="00C05CB8">
        <w:rPr>
          <w:lang w:val="en-US"/>
        </w:rPr>
        <w:t xml:space="preserve"> additional tax burden usually associated with employers</w:t>
      </w:r>
      <w:r w:rsidR="003C13D3">
        <w:rPr>
          <w:lang w:val="en-US"/>
        </w:rPr>
        <w:t xml:space="preserve"> </w:t>
      </w:r>
      <w:r w:rsidR="003A6E7B">
        <w:rPr>
          <w:lang w:val="en-US"/>
        </w:rPr>
        <w:t>has to be assumed by the</w:t>
      </w:r>
      <w:r w:rsidR="003C13D3">
        <w:rPr>
          <w:lang w:val="en-US"/>
        </w:rPr>
        <w:t xml:space="preserve"> </w:t>
      </w:r>
      <w:r w:rsidR="003A6E7B">
        <w:rPr>
          <w:lang w:val="en-US"/>
        </w:rPr>
        <w:t>freelancers themselves</w:t>
      </w:r>
      <w:r w:rsidR="00C05CB8">
        <w:rPr>
          <w:lang w:val="en-US"/>
        </w:rPr>
        <w:t>. A</w:t>
      </w:r>
      <w:r>
        <w:rPr>
          <w:lang w:val="en-US"/>
        </w:rPr>
        <w:t xml:space="preserve">ccessing unemployment benefits can </w:t>
      </w:r>
      <w:r w:rsidR="00C05CB8">
        <w:rPr>
          <w:lang w:val="en-US"/>
        </w:rPr>
        <w:t xml:space="preserve">also </w:t>
      </w:r>
      <w:r>
        <w:rPr>
          <w:lang w:val="en-US"/>
        </w:rPr>
        <w:t xml:space="preserve">be problematic. </w:t>
      </w:r>
      <w:r w:rsidR="001E59EB">
        <w:rPr>
          <w:lang w:val="en-US"/>
        </w:rPr>
        <w:t xml:space="preserve">In Norway, this is only possible if a person has already been in employment at some point in their career. </w:t>
      </w:r>
      <w:r w:rsidR="00C05CB8">
        <w:rPr>
          <w:lang w:val="en-US"/>
        </w:rPr>
        <w:t xml:space="preserve">In Denmark, income from occasional projects is not permitted while receiving unemployment benefits. One solution has been for artists’ </w:t>
      </w:r>
      <w:proofErr w:type="spellStart"/>
      <w:r w:rsidR="00C05CB8">
        <w:rPr>
          <w:lang w:val="en-US"/>
        </w:rPr>
        <w:t>organisations</w:t>
      </w:r>
      <w:proofErr w:type="spellEnd"/>
      <w:r w:rsidR="00C05CB8">
        <w:rPr>
          <w:lang w:val="en-US"/>
        </w:rPr>
        <w:t xml:space="preserve"> to act as intermediary and collect such occasional fees on behalf of their members. </w:t>
      </w:r>
    </w:p>
    <w:p w14:paraId="23AFC416" w14:textId="1B801F59" w:rsidR="00C05CB8" w:rsidRDefault="00941E0D" w:rsidP="001C5BBE">
      <w:pPr>
        <w:pStyle w:val="ListParagraph"/>
        <w:numPr>
          <w:ilvl w:val="0"/>
          <w:numId w:val="8"/>
        </w:numPr>
        <w:rPr>
          <w:lang w:val="en-US"/>
        </w:rPr>
      </w:pPr>
      <w:r>
        <w:rPr>
          <w:lang w:val="en-US"/>
        </w:rPr>
        <w:t xml:space="preserve">Positive initiatives exist at </w:t>
      </w:r>
      <w:r w:rsidRPr="0033368E">
        <w:rPr>
          <w:u w:val="single"/>
          <w:lang w:val="en-US"/>
        </w:rPr>
        <w:t>municipal level</w:t>
      </w:r>
      <w:r>
        <w:rPr>
          <w:lang w:val="en-US"/>
        </w:rPr>
        <w:t xml:space="preserve">. For example, in recent years the city council of Bergen has been offering arts </w:t>
      </w:r>
      <w:r w:rsidRPr="00941E0D">
        <w:rPr>
          <w:lang w:val="en-US"/>
        </w:rPr>
        <w:t xml:space="preserve">professionals </w:t>
      </w:r>
      <w:r>
        <w:rPr>
          <w:lang w:val="en-US"/>
        </w:rPr>
        <w:t>the opportunity to</w:t>
      </w:r>
      <w:r w:rsidRPr="00941E0D">
        <w:rPr>
          <w:lang w:val="en-US"/>
        </w:rPr>
        <w:t xml:space="preserve"> advise them on their arts policy.</w:t>
      </w:r>
      <w:r>
        <w:rPr>
          <w:lang w:val="en-US"/>
        </w:rPr>
        <w:t xml:space="preserve"> This has led to a growth in artist-led initiatives in the city and a more vibrant cultural life. The city council also offers training courses aimed at supporting the developme</w:t>
      </w:r>
      <w:r w:rsidR="003F7F7F">
        <w:rPr>
          <w:lang w:val="en-US"/>
        </w:rPr>
        <w:t xml:space="preserve">nt of freelance professionals. As a counterpoint, </w:t>
      </w:r>
      <w:r w:rsidR="00C124E8">
        <w:rPr>
          <w:lang w:val="en-US"/>
        </w:rPr>
        <w:t xml:space="preserve">municipalities </w:t>
      </w:r>
      <w:r w:rsidR="00D016B0">
        <w:rPr>
          <w:lang w:val="en-US"/>
        </w:rPr>
        <w:t xml:space="preserve">sometimes </w:t>
      </w:r>
      <w:proofErr w:type="spellStart"/>
      <w:r w:rsidR="00D016B0">
        <w:rPr>
          <w:lang w:val="en-US"/>
        </w:rPr>
        <w:t>prioritise</w:t>
      </w:r>
      <w:proofErr w:type="spellEnd"/>
      <w:r w:rsidR="00D016B0">
        <w:rPr>
          <w:lang w:val="en-US"/>
        </w:rPr>
        <w:t xml:space="preserve"> short-term projects that ensure maximum visibility, such as free events and festivals</w:t>
      </w:r>
      <w:r w:rsidR="00D016B0" w:rsidRPr="00D016B0">
        <w:rPr>
          <w:lang w:val="en-US"/>
        </w:rPr>
        <w:t xml:space="preserve">, </w:t>
      </w:r>
      <w:r w:rsidR="00C124E8" w:rsidRPr="00D016B0">
        <w:rPr>
          <w:lang w:val="en-US"/>
        </w:rPr>
        <w:t xml:space="preserve">to </w:t>
      </w:r>
      <w:r w:rsidR="00D016B0" w:rsidRPr="00D016B0">
        <w:rPr>
          <w:lang w:val="en-US"/>
        </w:rPr>
        <w:t xml:space="preserve">the </w:t>
      </w:r>
      <w:r w:rsidR="00C124E8" w:rsidRPr="00D016B0">
        <w:rPr>
          <w:lang w:val="en-US"/>
        </w:rPr>
        <w:t xml:space="preserve">detriment of building stronger institutions.  </w:t>
      </w:r>
    </w:p>
    <w:p w14:paraId="770E2E90" w14:textId="5CD58D78" w:rsidR="006B2864" w:rsidRDefault="0066025B" w:rsidP="001C5BBE">
      <w:pPr>
        <w:pStyle w:val="ListParagraph"/>
        <w:numPr>
          <w:ilvl w:val="0"/>
          <w:numId w:val="8"/>
        </w:numPr>
        <w:rPr>
          <w:lang w:val="en-US"/>
        </w:rPr>
      </w:pPr>
      <w:r>
        <w:rPr>
          <w:lang w:val="en-US"/>
        </w:rPr>
        <w:t>The</w:t>
      </w:r>
      <w:r w:rsidR="006B2864">
        <w:rPr>
          <w:lang w:val="en-US"/>
        </w:rPr>
        <w:t xml:space="preserve"> </w:t>
      </w:r>
      <w:r w:rsidR="006B2864" w:rsidRPr="007E5920">
        <w:rPr>
          <w:u w:val="single"/>
          <w:lang w:val="en-US"/>
        </w:rPr>
        <w:t xml:space="preserve">commercial and non-commercial </w:t>
      </w:r>
      <w:r w:rsidR="00C41FB6" w:rsidRPr="007E5920">
        <w:rPr>
          <w:u w:val="single"/>
          <w:lang w:val="en-US"/>
        </w:rPr>
        <w:t>sectors</w:t>
      </w:r>
      <w:r w:rsidRPr="0066025B">
        <w:rPr>
          <w:lang w:val="en-US"/>
        </w:rPr>
        <w:t xml:space="preserve"> exist in separate spheres</w:t>
      </w:r>
      <w:r w:rsidR="00C41FB6">
        <w:rPr>
          <w:lang w:val="en-US"/>
        </w:rPr>
        <w:t xml:space="preserve">, due </w:t>
      </w:r>
      <w:r w:rsidR="007E5920">
        <w:rPr>
          <w:lang w:val="en-US"/>
        </w:rPr>
        <w:t>in particular</w:t>
      </w:r>
      <w:r w:rsidR="00C41FB6">
        <w:rPr>
          <w:lang w:val="en-US"/>
        </w:rPr>
        <w:t xml:space="preserve"> to the interdiction for publicly-funded spaces to engage in commercial activities. </w:t>
      </w:r>
      <w:r w:rsidR="0037759A">
        <w:rPr>
          <w:lang w:val="en-US"/>
        </w:rPr>
        <w:t>Thus, both commercial galleries and non-commercial artist-run spaces tend to maintain the status quo rather than find</w:t>
      </w:r>
      <w:r>
        <w:rPr>
          <w:lang w:val="en-US"/>
        </w:rPr>
        <w:t>ing</w:t>
      </w:r>
      <w:r w:rsidR="0037759A">
        <w:rPr>
          <w:lang w:val="en-US"/>
        </w:rPr>
        <w:t xml:space="preserve"> new strategies </w:t>
      </w:r>
      <w:r>
        <w:rPr>
          <w:lang w:val="en-US"/>
        </w:rPr>
        <w:t>to evolve</w:t>
      </w:r>
      <w:r w:rsidR="0037759A">
        <w:rPr>
          <w:lang w:val="en-US"/>
        </w:rPr>
        <w:t xml:space="preserve">. </w:t>
      </w:r>
    </w:p>
    <w:p w14:paraId="233A1657" w14:textId="4B1B3141" w:rsidR="00F71DEC" w:rsidRDefault="006B4614" w:rsidP="001C5BBE">
      <w:pPr>
        <w:pStyle w:val="ListParagraph"/>
        <w:numPr>
          <w:ilvl w:val="0"/>
          <w:numId w:val="8"/>
        </w:numPr>
        <w:rPr>
          <w:lang w:val="en-US"/>
        </w:rPr>
      </w:pPr>
      <w:r w:rsidRPr="006B4614">
        <w:rPr>
          <w:u w:val="single"/>
          <w:lang w:val="en-US"/>
        </w:rPr>
        <w:t>Philanthropy and sponsorship</w:t>
      </w:r>
      <w:r>
        <w:rPr>
          <w:lang w:val="en-US"/>
        </w:rPr>
        <w:t xml:space="preserve"> are not sufficiently developed to </w:t>
      </w:r>
      <w:r w:rsidR="00A70ECE">
        <w:rPr>
          <w:lang w:val="en-US"/>
        </w:rPr>
        <w:t xml:space="preserve">compensate for the effect in funding cutbacks. Danish institutions lack strategies for engaging in dialogue </w:t>
      </w:r>
      <w:r w:rsidR="00A70ECE">
        <w:rPr>
          <w:lang w:val="en-US"/>
        </w:rPr>
        <w:lastRenderedPageBreak/>
        <w:t>with potential sponsors and building networks, due in part to the histori</w:t>
      </w:r>
      <w:r w:rsidR="00164937">
        <w:rPr>
          <w:lang w:val="en-US"/>
        </w:rPr>
        <w:t>cal reliance on public funding</w:t>
      </w:r>
      <w:r w:rsidR="0050515E">
        <w:rPr>
          <w:lang w:val="en-US"/>
        </w:rPr>
        <w:t xml:space="preserve"> and a negative perception of private funding and its more </w:t>
      </w:r>
      <w:r w:rsidR="00351CA9">
        <w:rPr>
          <w:lang w:val="en-US"/>
        </w:rPr>
        <w:t>commercial aspects. Nonetheless new opportunities have also emerged, due to private foundations that are cho</w:t>
      </w:r>
      <w:r w:rsidR="0013082B">
        <w:rPr>
          <w:lang w:val="en-US"/>
        </w:rPr>
        <w:t>o</w:t>
      </w:r>
      <w:r w:rsidR="00351CA9">
        <w:rPr>
          <w:lang w:val="en-US"/>
        </w:rPr>
        <w:t xml:space="preserve">sing to increasingly direct their focus towards the contemporary arts. </w:t>
      </w:r>
    </w:p>
    <w:p w14:paraId="051EF5B1" w14:textId="2FEC605C" w:rsidR="00DE75D2" w:rsidRDefault="00B67337" w:rsidP="001C5BBE">
      <w:pPr>
        <w:pStyle w:val="ListParagraph"/>
        <w:numPr>
          <w:ilvl w:val="0"/>
          <w:numId w:val="8"/>
        </w:numPr>
        <w:rPr>
          <w:lang w:val="en-US"/>
        </w:rPr>
      </w:pPr>
      <w:r w:rsidRPr="00020FB5">
        <w:rPr>
          <w:u w:val="single"/>
          <w:lang w:val="en-US"/>
        </w:rPr>
        <w:t>Public art</w:t>
      </w:r>
      <w:r w:rsidR="000E248D">
        <w:rPr>
          <w:lang w:val="en-US"/>
        </w:rPr>
        <w:t xml:space="preserve"> is increasingly a key focus area</w:t>
      </w:r>
      <w:r>
        <w:rPr>
          <w:lang w:val="en-US"/>
        </w:rPr>
        <w:t xml:space="preserve">. In Denmark, public institutions such as schools or hospitals can apply to borrow existing works from a database or can decide to commission new works </w:t>
      </w:r>
      <w:r w:rsidR="00844B61">
        <w:rPr>
          <w:lang w:val="en-US"/>
        </w:rPr>
        <w:t xml:space="preserve">through </w:t>
      </w:r>
      <w:r>
        <w:rPr>
          <w:lang w:val="en-US"/>
        </w:rPr>
        <w:t xml:space="preserve">a </w:t>
      </w:r>
      <w:r w:rsidR="00844B61">
        <w:rPr>
          <w:lang w:val="en-US"/>
        </w:rPr>
        <w:t xml:space="preserve">grant </w:t>
      </w:r>
      <w:r>
        <w:rPr>
          <w:lang w:val="en-US"/>
        </w:rPr>
        <w:t xml:space="preserve">board within the Danish Arts Foundation. </w:t>
      </w:r>
      <w:r w:rsidR="00BE5996">
        <w:rPr>
          <w:lang w:val="en-US"/>
        </w:rPr>
        <w:t xml:space="preserve">The Foundation’s funding for Copenhagen Arts Week included a focus on producing art in public spaces and artists are increasingly being invited to collaborate from the early stages of projects. Recently, </w:t>
      </w:r>
      <w:r w:rsidR="00844B61">
        <w:rPr>
          <w:lang w:val="en-US"/>
        </w:rPr>
        <w:t>during the extension of the Copenhagen metro</w:t>
      </w:r>
      <w:r w:rsidR="00BE5996">
        <w:rPr>
          <w:lang w:val="en-US"/>
        </w:rPr>
        <w:t>,</w:t>
      </w:r>
      <w:r w:rsidR="00844B61">
        <w:rPr>
          <w:lang w:val="en-US"/>
        </w:rPr>
        <w:t xml:space="preserve"> art has been a fully integrated element from the planning stage. </w:t>
      </w:r>
      <w:r w:rsidR="00020FB5">
        <w:rPr>
          <w:lang w:val="en-US"/>
        </w:rPr>
        <w:t>Nonetheless, the Danish Arts Foundation must get better at celebrating its successes and those of the Danish cultural sector</w:t>
      </w:r>
      <w:r w:rsidR="00B14265">
        <w:rPr>
          <w:lang w:val="en-US"/>
        </w:rPr>
        <w:t xml:space="preserve"> in order</w:t>
      </w:r>
      <w:r w:rsidR="00020FB5">
        <w:rPr>
          <w:lang w:val="en-US"/>
        </w:rPr>
        <w:t xml:space="preserve"> to continue to be supported by the public and the government in a climate of austerity. </w:t>
      </w:r>
    </w:p>
    <w:p w14:paraId="2DBC4C95" w14:textId="541B5328" w:rsidR="002D22F9" w:rsidRDefault="00941E0D" w:rsidP="002F3411">
      <w:pPr>
        <w:pStyle w:val="ListParagraph"/>
        <w:numPr>
          <w:ilvl w:val="0"/>
          <w:numId w:val="8"/>
        </w:numPr>
        <w:rPr>
          <w:lang w:val="en-US"/>
        </w:rPr>
      </w:pPr>
      <w:r>
        <w:rPr>
          <w:lang w:val="en-US"/>
        </w:rPr>
        <w:t>Some recent</w:t>
      </w:r>
      <w:r w:rsidRPr="0033368E">
        <w:rPr>
          <w:lang w:val="en-US"/>
        </w:rPr>
        <w:t xml:space="preserve"> </w:t>
      </w:r>
      <w:r w:rsidRPr="0033368E">
        <w:rPr>
          <w:u w:val="single"/>
          <w:lang w:val="en-US"/>
        </w:rPr>
        <w:t>initiatives</w:t>
      </w:r>
      <w:r>
        <w:rPr>
          <w:lang w:val="en-US"/>
        </w:rPr>
        <w:t xml:space="preserve"> are perceived as being </w:t>
      </w:r>
      <w:r w:rsidR="00B77162" w:rsidRPr="0033368E">
        <w:rPr>
          <w:u w:val="single"/>
          <w:lang w:val="en-US"/>
        </w:rPr>
        <w:t>detrimental</w:t>
      </w:r>
      <w:r w:rsidR="00B77162">
        <w:rPr>
          <w:lang w:val="en-US"/>
        </w:rPr>
        <w:t xml:space="preserve"> to the cultural sector. In Norway, the </w:t>
      </w:r>
      <w:r w:rsidR="002F3411">
        <w:rPr>
          <w:lang w:val="en-US"/>
        </w:rPr>
        <w:t>practice of grant juries being peer-based may be changed, potentially leading to less diversity and innovation among the winning entries. In Denmark, the cur</w:t>
      </w:r>
      <w:r w:rsidR="003F7F7F">
        <w:rPr>
          <w:lang w:val="en-US"/>
        </w:rPr>
        <w:t xml:space="preserve">rent policy of </w:t>
      </w:r>
      <w:proofErr w:type="spellStart"/>
      <w:r w:rsidR="003F7F7F">
        <w:rPr>
          <w:lang w:val="en-US"/>
        </w:rPr>
        <w:t>decentralis</w:t>
      </w:r>
      <w:r w:rsidR="00B14265">
        <w:rPr>
          <w:lang w:val="en-US"/>
        </w:rPr>
        <w:t>ation</w:t>
      </w:r>
      <w:proofErr w:type="spellEnd"/>
      <w:r w:rsidR="002F3411">
        <w:rPr>
          <w:lang w:val="en-US"/>
        </w:rPr>
        <w:t xml:space="preserve"> </w:t>
      </w:r>
      <w:r w:rsidR="003F7F7F">
        <w:rPr>
          <w:lang w:val="en-US"/>
        </w:rPr>
        <w:t xml:space="preserve">has been perceived as happening too rapidly and </w:t>
      </w:r>
      <w:r w:rsidR="002F3411">
        <w:rPr>
          <w:lang w:val="en-US"/>
        </w:rPr>
        <w:t xml:space="preserve">may </w:t>
      </w:r>
      <w:r w:rsidR="003F7F7F">
        <w:rPr>
          <w:lang w:val="en-US"/>
        </w:rPr>
        <w:t>lead to loss of job and unnecessary expenditure when</w:t>
      </w:r>
      <w:r w:rsidR="002F3411">
        <w:rPr>
          <w:lang w:val="en-US"/>
        </w:rPr>
        <w:t xml:space="preserve"> important institutions </w:t>
      </w:r>
      <w:r w:rsidR="003F7F7F">
        <w:rPr>
          <w:lang w:val="en-US"/>
        </w:rPr>
        <w:t>are</w:t>
      </w:r>
      <w:r w:rsidR="002F3411">
        <w:rPr>
          <w:lang w:val="en-US"/>
        </w:rPr>
        <w:t xml:space="preserve"> moved away from Copenhagen, leading to loss of job and unnecessary expenditure. One </w:t>
      </w:r>
      <w:r w:rsidR="0033368E">
        <w:rPr>
          <w:lang w:val="en-US"/>
        </w:rPr>
        <w:t xml:space="preserve">such </w:t>
      </w:r>
      <w:r w:rsidR="002F3411">
        <w:rPr>
          <w:lang w:val="en-US"/>
        </w:rPr>
        <w:t>example is the Danish Arts Workshop</w:t>
      </w:r>
      <w:r w:rsidR="0033368E">
        <w:rPr>
          <w:lang w:val="en-US"/>
        </w:rPr>
        <w:t>s which have</w:t>
      </w:r>
      <w:r w:rsidR="002F3411">
        <w:rPr>
          <w:lang w:val="en-US"/>
        </w:rPr>
        <w:t xml:space="preserve"> been based in Copenhagen since </w:t>
      </w:r>
      <w:r w:rsidR="0033368E">
        <w:rPr>
          <w:lang w:val="en-US"/>
        </w:rPr>
        <w:t xml:space="preserve">their opening in </w:t>
      </w:r>
      <w:r w:rsidR="002F3411">
        <w:rPr>
          <w:lang w:val="en-US"/>
        </w:rPr>
        <w:t xml:space="preserve">1986. </w:t>
      </w:r>
    </w:p>
    <w:p w14:paraId="5F4F0DBF" w14:textId="45E5C76E" w:rsidR="0033368E" w:rsidRDefault="0033368E" w:rsidP="002F3411">
      <w:pPr>
        <w:pStyle w:val="ListParagraph"/>
        <w:numPr>
          <w:ilvl w:val="0"/>
          <w:numId w:val="8"/>
        </w:numPr>
        <w:rPr>
          <w:lang w:val="en-US"/>
        </w:rPr>
      </w:pPr>
      <w:r w:rsidRPr="00475BC3">
        <w:rPr>
          <w:u w:val="single"/>
          <w:lang w:val="en-US"/>
        </w:rPr>
        <w:t>Arts education</w:t>
      </w:r>
      <w:r>
        <w:rPr>
          <w:lang w:val="en-US"/>
        </w:rPr>
        <w:t xml:space="preserve"> does not have sufficient support at governmental level and some of the national schemes have different outcomes than intended. For instance, a Norwegian </w:t>
      </w:r>
      <w:proofErr w:type="spellStart"/>
      <w:r>
        <w:rPr>
          <w:lang w:val="en-US"/>
        </w:rPr>
        <w:t>programme</w:t>
      </w:r>
      <w:proofErr w:type="spellEnd"/>
      <w:r>
        <w:rPr>
          <w:lang w:val="en-US"/>
        </w:rPr>
        <w:t xml:space="preserve"> that sees artists vising schools has led to arts teaching being neglected at other times. </w:t>
      </w:r>
      <w:r w:rsidR="00E85DBA">
        <w:rPr>
          <w:lang w:val="en-US"/>
        </w:rPr>
        <w:t xml:space="preserve">In higher education, Danish art schools </w:t>
      </w:r>
      <w:r w:rsidR="00111F34">
        <w:rPr>
          <w:lang w:val="en-US"/>
        </w:rPr>
        <w:t xml:space="preserve">could do more to </w:t>
      </w:r>
      <w:r w:rsidR="002812ED">
        <w:rPr>
          <w:lang w:val="en-US"/>
        </w:rPr>
        <w:t xml:space="preserve">attract a more diverse student body and to </w:t>
      </w:r>
      <w:r w:rsidR="00111F34">
        <w:rPr>
          <w:lang w:val="en-US"/>
        </w:rPr>
        <w:t xml:space="preserve">prepare students for how the international art world functions. </w:t>
      </w:r>
    </w:p>
    <w:p w14:paraId="76E44EC2" w14:textId="00D1605F" w:rsidR="00E85DBA" w:rsidRDefault="002812ED" w:rsidP="002F3411">
      <w:pPr>
        <w:pStyle w:val="ListParagraph"/>
        <w:numPr>
          <w:ilvl w:val="0"/>
          <w:numId w:val="8"/>
        </w:numPr>
        <w:rPr>
          <w:lang w:val="en-US"/>
        </w:rPr>
      </w:pPr>
      <w:r>
        <w:rPr>
          <w:lang w:val="en-US"/>
        </w:rPr>
        <w:t xml:space="preserve">Despite the </w:t>
      </w:r>
      <w:r w:rsidRPr="0064006D">
        <w:rPr>
          <w:u w:val="single"/>
          <w:lang w:val="en-US"/>
        </w:rPr>
        <w:t xml:space="preserve">Nordic </w:t>
      </w:r>
      <w:r w:rsidR="0064006D" w:rsidRPr="0064006D">
        <w:rPr>
          <w:u w:val="single"/>
          <w:lang w:val="en-US"/>
        </w:rPr>
        <w:t>region</w:t>
      </w:r>
      <w:r w:rsidR="0064006D">
        <w:rPr>
          <w:lang w:val="en-US"/>
        </w:rPr>
        <w:t xml:space="preserve"> b</w:t>
      </w:r>
      <w:r>
        <w:rPr>
          <w:lang w:val="en-US"/>
        </w:rPr>
        <w:t xml:space="preserve">eing frequently </w:t>
      </w:r>
      <w:r w:rsidR="0070772F">
        <w:rPr>
          <w:lang w:val="en-US"/>
        </w:rPr>
        <w:t xml:space="preserve">seen as a </w:t>
      </w:r>
      <w:r w:rsidR="0064006D">
        <w:rPr>
          <w:lang w:val="en-US"/>
        </w:rPr>
        <w:t xml:space="preserve">cohesive and collaborative space, the art scene in each country can be quite local, with fewer regional exchanges than might be expected. </w:t>
      </w:r>
      <w:r w:rsidR="00BE5996">
        <w:rPr>
          <w:lang w:val="en-US"/>
        </w:rPr>
        <w:t xml:space="preserve">Equally, institutions within the region are not making enough efforts to share knowledge and learnings despite facing similar challenges. </w:t>
      </w:r>
    </w:p>
    <w:p w14:paraId="78FAFF51" w14:textId="77777777" w:rsidR="002F3411" w:rsidRPr="00D36BFD" w:rsidRDefault="002F3411" w:rsidP="002F3411">
      <w:pPr>
        <w:pStyle w:val="ListParagraph"/>
        <w:rPr>
          <w:lang w:val="en-US"/>
        </w:rPr>
      </w:pPr>
    </w:p>
    <w:p w14:paraId="27DE5BB5" w14:textId="1764FF89" w:rsidR="00360333" w:rsidRPr="0050515E" w:rsidRDefault="00360333" w:rsidP="00360333">
      <w:pPr>
        <w:pStyle w:val="Heading2"/>
      </w:pPr>
      <w:bookmarkStart w:id="12" w:name="_Toc503362529"/>
      <w:r w:rsidRPr="00360333">
        <w:t>Germany</w:t>
      </w:r>
      <w:bookmarkEnd w:id="12"/>
    </w:p>
    <w:p w14:paraId="20F71776" w14:textId="77777777" w:rsidR="007E4615" w:rsidRDefault="007E4615" w:rsidP="007E4615">
      <w:pPr>
        <w:pStyle w:val="Heading3"/>
      </w:pPr>
      <w:bookmarkStart w:id="13" w:name="_Toc503362530"/>
      <w:r>
        <w:t>Overview</w:t>
      </w:r>
      <w:bookmarkEnd w:id="13"/>
      <w:r>
        <w:t xml:space="preserve"> </w:t>
      </w:r>
    </w:p>
    <w:p w14:paraId="2A8F2A76" w14:textId="3445294D" w:rsidR="00456BFD" w:rsidRDefault="00D10A1B" w:rsidP="00D10A1B">
      <w:pPr>
        <w:rPr>
          <w:lang w:val="en-US"/>
        </w:rPr>
      </w:pPr>
      <w:r w:rsidRPr="00D10A1B">
        <w:rPr>
          <w:lang w:val="en-US"/>
        </w:rPr>
        <w:t>Cultural policy in Germ</w:t>
      </w:r>
      <w:r w:rsidR="00FB298D">
        <w:rPr>
          <w:lang w:val="en-US"/>
        </w:rPr>
        <w:t xml:space="preserve">any is based on a federal model with different tiers of government: </w:t>
      </w:r>
      <w:proofErr w:type="gramStart"/>
      <w:r w:rsidR="00FB298D" w:rsidRPr="00FB298D">
        <w:rPr>
          <w:lang w:val="en-US"/>
        </w:rPr>
        <w:t>the</w:t>
      </w:r>
      <w:proofErr w:type="gramEnd"/>
      <w:r w:rsidR="00FB298D" w:rsidRPr="00FB298D">
        <w:rPr>
          <w:lang w:val="en-US"/>
        </w:rPr>
        <w:t xml:space="preserve"> </w:t>
      </w:r>
      <w:r w:rsidR="00FB298D" w:rsidRPr="004F1631">
        <w:rPr>
          <w:lang w:val="en-US"/>
        </w:rPr>
        <w:t>Bund</w:t>
      </w:r>
      <w:r w:rsidR="00FB298D">
        <w:rPr>
          <w:lang w:val="en-US"/>
        </w:rPr>
        <w:t xml:space="preserve"> (</w:t>
      </w:r>
      <w:r w:rsidR="00FB298D" w:rsidRPr="00FB298D">
        <w:rPr>
          <w:lang w:val="en-US"/>
        </w:rPr>
        <w:t>Federal Government</w:t>
      </w:r>
      <w:r w:rsidR="00FB298D">
        <w:rPr>
          <w:lang w:val="en-US"/>
        </w:rPr>
        <w:t>)</w:t>
      </w:r>
      <w:r w:rsidR="00FB298D" w:rsidRPr="00FB298D">
        <w:rPr>
          <w:lang w:val="en-US"/>
        </w:rPr>
        <w:t xml:space="preserve">, the </w:t>
      </w:r>
      <w:proofErr w:type="spellStart"/>
      <w:r w:rsidR="00FB298D" w:rsidRPr="004F1631">
        <w:rPr>
          <w:lang w:val="en-US"/>
        </w:rPr>
        <w:t>Bundesländer</w:t>
      </w:r>
      <w:proofErr w:type="spellEnd"/>
      <w:r w:rsidR="00FB298D" w:rsidRPr="004F1631">
        <w:rPr>
          <w:lang w:val="en-US"/>
        </w:rPr>
        <w:t xml:space="preserve">/ </w:t>
      </w:r>
      <w:proofErr w:type="spellStart"/>
      <w:r w:rsidR="00FB298D" w:rsidRPr="004F1631">
        <w:rPr>
          <w:lang w:val="en-US"/>
        </w:rPr>
        <w:t>Länder</w:t>
      </w:r>
      <w:proofErr w:type="spellEnd"/>
      <w:r w:rsidR="00FB298D" w:rsidRPr="00FB298D">
        <w:rPr>
          <w:lang w:val="en-US"/>
        </w:rPr>
        <w:t xml:space="preserve"> (federal states) and the municipali</w:t>
      </w:r>
      <w:r w:rsidR="00FB298D">
        <w:rPr>
          <w:lang w:val="en-US"/>
        </w:rPr>
        <w:t>ties (cities, towns, counties).</w:t>
      </w:r>
      <w:r w:rsidRPr="00D10A1B">
        <w:rPr>
          <w:lang w:val="en-US"/>
        </w:rPr>
        <w:t xml:space="preserve"> The </w:t>
      </w:r>
      <w:r w:rsidR="005F7B26">
        <w:rPr>
          <w:lang w:val="en-US"/>
        </w:rPr>
        <w:t>Federal Government has jurisdiction over foreign cultural policy, education and legal initiatives that</w:t>
      </w:r>
      <w:r w:rsidR="003461F9">
        <w:rPr>
          <w:lang w:val="en-US"/>
        </w:rPr>
        <w:t xml:space="preserve"> affect culture. However, the sixteen</w:t>
      </w:r>
      <w:r w:rsidR="005F7B26">
        <w:rPr>
          <w:lang w:val="en-US"/>
        </w:rPr>
        <w:t xml:space="preserve"> </w:t>
      </w:r>
      <w:r w:rsidR="00C03205">
        <w:rPr>
          <w:lang w:val="en-US"/>
        </w:rPr>
        <w:t>federal states</w:t>
      </w:r>
      <w:r w:rsidRPr="00D10A1B">
        <w:rPr>
          <w:lang w:val="en-US"/>
        </w:rPr>
        <w:t xml:space="preserve"> and </w:t>
      </w:r>
      <w:r w:rsidR="005F7B26">
        <w:rPr>
          <w:lang w:val="en-US"/>
        </w:rPr>
        <w:t xml:space="preserve">their </w:t>
      </w:r>
      <w:r w:rsidRPr="00D10A1B">
        <w:rPr>
          <w:lang w:val="en-US"/>
        </w:rPr>
        <w:t xml:space="preserve">municipalities are the main actors responsible for cultural policy in Germany. The scope and priority areas can vary greatly from </w:t>
      </w:r>
      <w:r w:rsidR="00C03205">
        <w:rPr>
          <w:lang w:val="en-US"/>
        </w:rPr>
        <w:t xml:space="preserve">federal state to federal state </w:t>
      </w:r>
      <w:r w:rsidRPr="00D10A1B">
        <w:rPr>
          <w:lang w:val="en-US"/>
        </w:rPr>
        <w:t>and from municipality to munic</w:t>
      </w:r>
      <w:r w:rsidR="00C03205">
        <w:rPr>
          <w:lang w:val="en-US"/>
        </w:rPr>
        <w:t xml:space="preserve">ipality. The individual federal states </w:t>
      </w:r>
      <w:r w:rsidRPr="00D10A1B">
        <w:rPr>
          <w:lang w:val="en-US"/>
        </w:rPr>
        <w:t xml:space="preserve">can transfer budgetary resources for culture to the municipalities at their own discretion. </w:t>
      </w:r>
      <w:r w:rsidR="00C7201E" w:rsidRPr="00C7201E">
        <w:rPr>
          <w:lang w:val="en-US"/>
        </w:rPr>
        <w:t xml:space="preserve">All levels of government are </w:t>
      </w:r>
      <w:r w:rsidR="00C7201E" w:rsidRPr="00C7201E">
        <w:rPr>
          <w:lang w:val="en-US"/>
        </w:rPr>
        <w:lastRenderedPageBreak/>
        <w:t>supposed to cooperate within one another on cultural matters by jointly supporting cultu</w:t>
      </w:r>
      <w:r w:rsidR="00C7201E">
        <w:rPr>
          <w:lang w:val="en-US"/>
        </w:rPr>
        <w:t>ral institutions and activities.</w:t>
      </w:r>
      <w:r w:rsidR="00C7201E" w:rsidRPr="00C7201E">
        <w:rPr>
          <w:lang w:val="en-US"/>
        </w:rPr>
        <w:t xml:space="preserve"> In reality, there is a high degree of competition among the different federal states </w:t>
      </w:r>
      <w:r w:rsidR="00C7201E">
        <w:rPr>
          <w:lang w:val="en-US"/>
        </w:rPr>
        <w:t xml:space="preserve">and municipalities, which has perhaps fostered </w:t>
      </w:r>
      <w:r w:rsidR="007445A3">
        <w:rPr>
          <w:lang w:val="en-US"/>
        </w:rPr>
        <w:t>Germany’s vibrant arts scenes at</w:t>
      </w:r>
      <w:r w:rsidR="00C7201E">
        <w:rPr>
          <w:lang w:val="en-US"/>
        </w:rPr>
        <w:t xml:space="preserve"> local level. </w:t>
      </w:r>
      <w:r w:rsidR="00714296">
        <w:rPr>
          <w:lang w:val="en-US"/>
        </w:rPr>
        <w:t xml:space="preserve">The federal model </w:t>
      </w:r>
      <w:r w:rsidR="00FE79AE">
        <w:rPr>
          <w:lang w:val="en-US"/>
        </w:rPr>
        <w:t>has also had</w:t>
      </w:r>
      <w:r w:rsidR="00714296">
        <w:rPr>
          <w:lang w:val="en-US"/>
        </w:rPr>
        <w:t xml:space="preserve"> its detractors</w:t>
      </w:r>
      <w:r w:rsidR="00FE79AE">
        <w:rPr>
          <w:lang w:val="en-US"/>
        </w:rPr>
        <w:t>, especially in the light of the economic crisis</w:t>
      </w:r>
      <w:r w:rsidR="00714296">
        <w:rPr>
          <w:lang w:val="en-US"/>
        </w:rPr>
        <w:t>: in 2012 a book entitled ‘</w:t>
      </w:r>
      <w:proofErr w:type="spellStart"/>
      <w:r w:rsidR="00714296" w:rsidRPr="00714296">
        <w:rPr>
          <w:lang w:val="en-US"/>
        </w:rPr>
        <w:t>Kulturinfarkt</w:t>
      </w:r>
      <w:proofErr w:type="spellEnd"/>
      <w:r w:rsidR="00714296" w:rsidRPr="00714296">
        <w:rPr>
          <w:lang w:val="en-US"/>
        </w:rPr>
        <w:t>. Too much of ever</w:t>
      </w:r>
      <w:r w:rsidR="00714296">
        <w:rPr>
          <w:lang w:val="en-US"/>
        </w:rPr>
        <w:t>ything and the same everywhere’ became a best-seller, suggesting that resources are being spread too thinly on too larg</w:t>
      </w:r>
      <w:r w:rsidR="00FE79AE">
        <w:rPr>
          <w:lang w:val="en-US"/>
        </w:rPr>
        <w:t xml:space="preserve">e a number of similar </w:t>
      </w:r>
      <w:proofErr w:type="spellStart"/>
      <w:r w:rsidR="00FE79AE">
        <w:rPr>
          <w:lang w:val="en-US"/>
        </w:rPr>
        <w:t>organisations</w:t>
      </w:r>
      <w:proofErr w:type="spellEnd"/>
      <w:r w:rsidR="00FE79AE">
        <w:rPr>
          <w:lang w:val="en-US"/>
        </w:rPr>
        <w:t xml:space="preserve"> and that widespread state support can lead to a </w:t>
      </w:r>
      <w:proofErr w:type="spellStart"/>
      <w:r w:rsidR="00FE79AE">
        <w:rPr>
          <w:lang w:val="en-US"/>
        </w:rPr>
        <w:t>homogenised</w:t>
      </w:r>
      <w:proofErr w:type="spellEnd"/>
      <w:r w:rsidR="00FE79AE">
        <w:rPr>
          <w:lang w:val="en-US"/>
        </w:rPr>
        <w:t xml:space="preserve"> arts scene.</w:t>
      </w:r>
    </w:p>
    <w:p w14:paraId="193C0F5C" w14:textId="77777777" w:rsidR="0051420D" w:rsidRDefault="0051420D" w:rsidP="00D10A1B">
      <w:pPr>
        <w:rPr>
          <w:lang w:val="en-US"/>
        </w:rPr>
      </w:pPr>
    </w:p>
    <w:p w14:paraId="0CC287B1" w14:textId="4FB77E78" w:rsidR="00453690" w:rsidRDefault="00453690" w:rsidP="00453690">
      <w:pPr>
        <w:rPr>
          <w:lang w:val="en-US"/>
        </w:rPr>
      </w:pPr>
      <w:r w:rsidRPr="00453690">
        <w:rPr>
          <w:lang w:val="en-US"/>
        </w:rPr>
        <w:t>At the</w:t>
      </w:r>
      <w:r>
        <w:rPr>
          <w:lang w:val="en-US"/>
        </w:rPr>
        <w:t xml:space="preserve"> </w:t>
      </w:r>
      <w:r w:rsidR="00E455F6">
        <w:rPr>
          <w:u w:val="single"/>
          <w:lang w:val="en-US"/>
        </w:rPr>
        <w:t>federal</w:t>
      </w:r>
      <w:r w:rsidRPr="00453690">
        <w:rPr>
          <w:u w:val="single"/>
          <w:lang w:val="en-US"/>
        </w:rPr>
        <w:t xml:space="preserve"> level</w:t>
      </w:r>
      <w:r w:rsidRPr="00453690">
        <w:rPr>
          <w:lang w:val="en-US"/>
        </w:rPr>
        <w:t xml:space="preserve">, support to artists is provided </w:t>
      </w:r>
      <w:r>
        <w:rPr>
          <w:lang w:val="en-US"/>
        </w:rPr>
        <w:t>through</w:t>
      </w:r>
      <w:r w:rsidRPr="00453690">
        <w:rPr>
          <w:lang w:val="en-US"/>
        </w:rPr>
        <w:t xml:space="preserve"> the Germa</w:t>
      </w:r>
      <w:r w:rsidR="00A70487">
        <w:rPr>
          <w:lang w:val="en-US"/>
        </w:rPr>
        <w:t>n Federal Cultural Foundation.</w:t>
      </w:r>
      <w:r>
        <w:rPr>
          <w:lang w:val="en-US"/>
        </w:rPr>
        <w:t xml:space="preserve"> </w:t>
      </w:r>
      <w:r w:rsidR="00A70487">
        <w:rPr>
          <w:lang w:val="en-US"/>
        </w:rPr>
        <w:t>It</w:t>
      </w:r>
      <w:r>
        <w:rPr>
          <w:lang w:val="en-US"/>
        </w:rPr>
        <w:t xml:space="preserve"> receives</w:t>
      </w:r>
      <w:r w:rsidRPr="006D32E8">
        <w:rPr>
          <w:lang w:val="en-US"/>
        </w:rPr>
        <w:t xml:space="preserve"> a fixed amount of 35 million euros annually through the budget of the </w:t>
      </w:r>
      <w:r w:rsidR="00A70487">
        <w:rPr>
          <w:lang w:val="en-US"/>
        </w:rPr>
        <w:t>Federal Commissioner for</w:t>
      </w:r>
      <w:r w:rsidRPr="006D32E8">
        <w:rPr>
          <w:lang w:val="en-US"/>
        </w:rPr>
        <w:t xml:space="preserve"> Cultural and Media Affairs</w:t>
      </w:r>
      <w:r w:rsidR="00A70487">
        <w:rPr>
          <w:lang w:val="en-US"/>
        </w:rPr>
        <w:t>, making it one of the largest publicly funded cultural foundations in Europe</w:t>
      </w:r>
      <w:r w:rsidRPr="006D32E8">
        <w:rPr>
          <w:lang w:val="en-US"/>
        </w:rPr>
        <w:t>.</w:t>
      </w:r>
      <w:r w:rsidRPr="00453690">
        <w:t xml:space="preserve"> </w:t>
      </w:r>
      <w:r>
        <w:t>The Foundation promotes and funds art and culture across the whole country, as well as initiating international projects.</w:t>
      </w:r>
      <w:r w:rsidRPr="00453690">
        <w:rPr>
          <w:lang w:val="en-US"/>
        </w:rPr>
        <w:t xml:space="preserve"> </w:t>
      </w:r>
      <w:r>
        <w:rPr>
          <w:lang w:val="en-US"/>
        </w:rPr>
        <w:t xml:space="preserve">It supports long-running events such as </w:t>
      </w:r>
      <w:proofErr w:type="spellStart"/>
      <w:r>
        <w:rPr>
          <w:lang w:val="en-US"/>
        </w:rPr>
        <w:t>documenta</w:t>
      </w:r>
      <w:proofErr w:type="spellEnd"/>
      <w:r>
        <w:rPr>
          <w:lang w:val="en-US"/>
        </w:rPr>
        <w:t xml:space="preserve"> and the Berlin Biennial, and funds artists, museums, galleries and curatorial projects. Additionally, s</w:t>
      </w:r>
      <w:r w:rsidRPr="00453690">
        <w:rPr>
          <w:lang w:val="en-US"/>
        </w:rPr>
        <w:t xml:space="preserve">ince the 1970s, there has been a federal </w:t>
      </w:r>
      <w:proofErr w:type="spellStart"/>
      <w:r w:rsidRPr="00453690">
        <w:rPr>
          <w:lang w:val="en-US"/>
        </w:rPr>
        <w:t>program</w:t>
      </w:r>
      <w:r>
        <w:rPr>
          <w:lang w:val="en-US"/>
        </w:rPr>
        <w:t>me</w:t>
      </w:r>
      <w:proofErr w:type="spellEnd"/>
      <w:r>
        <w:rPr>
          <w:lang w:val="en-US"/>
        </w:rPr>
        <w:t xml:space="preserve"> for art purchases and a fed</w:t>
      </w:r>
      <w:r w:rsidRPr="00453690">
        <w:rPr>
          <w:lang w:val="en-US"/>
        </w:rPr>
        <w:t>eral collection of contemporary art</w:t>
      </w:r>
      <w:r w:rsidR="00936825">
        <w:rPr>
          <w:lang w:val="en-US"/>
        </w:rPr>
        <w:t xml:space="preserve">, the </w:t>
      </w:r>
      <w:proofErr w:type="spellStart"/>
      <w:r w:rsidR="00936825">
        <w:rPr>
          <w:lang w:val="en-US"/>
        </w:rPr>
        <w:t>Bundeskunsthalle</w:t>
      </w:r>
      <w:proofErr w:type="spellEnd"/>
      <w:r w:rsidRPr="00453690">
        <w:rPr>
          <w:lang w:val="en-US"/>
        </w:rPr>
        <w:t xml:space="preserve">. </w:t>
      </w:r>
      <w:r w:rsidR="00DD02BE">
        <w:rPr>
          <w:lang w:val="en-US"/>
        </w:rPr>
        <w:t>Support</w:t>
      </w:r>
      <w:r w:rsidR="00FB298D">
        <w:rPr>
          <w:lang w:val="en-US"/>
        </w:rPr>
        <w:t xml:space="preserve"> from the Federal G</w:t>
      </w:r>
      <w:r w:rsidR="00DD02BE">
        <w:rPr>
          <w:lang w:val="en-US"/>
        </w:rPr>
        <w:t>overnment for so-called ‘landmark cultural institutions’ has been both welcome, as the financial burden on federal states was too great in some cases, and contested</w:t>
      </w:r>
      <w:r w:rsidR="000B2F5F">
        <w:rPr>
          <w:lang w:val="en-US"/>
        </w:rPr>
        <w:t xml:space="preserve">, as </w:t>
      </w:r>
      <w:r w:rsidR="00DD02BE">
        <w:rPr>
          <w:lang w:val="en-US"/>
        </w:rPr>
        <w:t>federal involvement</w:t>
      </w:r>
      <w:r w:rsidR="009338EA">
        <w:rPr>
          <w:lang w:val="en-US"/>
        </w:rPr>
        <w:t xml:space="preserve"> has</w:t>
      </w:r>
      <w:r w:rsidR="00DD02BE">
        <w:rPr>
          <w:lang w:val="en-US"/>
        </w:rPr>
        <w:t xml:space="preserve"> thus </w:t>
      </w:r>
      <w:r w:rsidR="009338EA">
        <w:rPr>
          <w:lang w:val="en-US"/>
        </w:rPr>
        <w:t>increased</w:t>
      </w:r>
      <w:r w:rsidR="000B2F5F">
        <w:rPr>
          <w:lang w:val="en-US"/>
        </w:rPr>
        <w:t xml:space="preserve"> at local level</w:t>
      </w:r>
      <w:r w:rsidR="00DD02BE">
        <w:rPr>
          <w:lang w:val="en-US"/>
        </w:rPr>
        <w:t>.</w:t>
      </w:r>
    </w:p>
    <w:p w14:paraId="1877F26A" w14:textId="77777777" w:rsidR="00453690" w:rsidRDefault="00453690" w:rsidP="00453690">
      <w:pPr>
        <w:rPr>
          <w:lang w:val="en-US"/>
        </w:rPr>
      </w:pPr>
    </w:p>
    <w:p w14:paraId="0551D492" w14:textId="488848C3" w:rsidR="000F743D" w:rsidRDefault="00DD02BE" w:rsidP="005B2223">
      <w:pPr>
        <w:rPr>
          <w:lang w:val="en-US"/>
        </w:rPr>
      </w:pPr>
      <w:r>
        <w:rPr>
          <w:lang w:val="en-US"/>
        </w:rPr>
        <w:t>A</w:t>
      </w:r>
      <w:r w:rsidR="00453690">
        <w:rPr>
          <w:lang w:val="en-US"/>
        </w:rPr>
        <w:t xml:space="preserve">t </w:t>
      </w:r>
      <w:r w:rsidR="00453690" w:rsidRPr="00453690">
        <w:rPr>
          <w:u w:val="single"/>
          <w:lang w:val="en-US"/>
        </w:rPr>
        <w:t>federal state and</w:t>
      </w:r>
      <w:r w:rsidR="00453690">
        <w:rPr>
          <w:u w:val="single"/>
          <w:lang w:val="en-US"/>
        </w:rPr>
        <w:t xml:space="preserve"> municipal</w:t>
      </w:r>
      <w:r w:rsidR="00453690" w:rsidRPr="00453690">
        <w:rPr>
          <w:u w:val="single"/>
          <w:lang w:val="en-US"/>
        </w:rPr>
        <w:t xml:space="preserve"> level</w:t>
      </w:r>
      <w:r w:rsidRPr="00DD02BE">
        <w:rPr>
          <w:lang w:val="en-US"/>
        </w:rPr>
        <w:t xml:space="preserve"> </w:t>
      </w:r>
      <w:r>
        <w:rPr>
          <w:lang w:val="en-US"/>
        </w:rPr>
        <w:t>support</w:t>
      </w:r>
      <w:r w:rsidRPr="00453690">
        <w:rPr>
          <w:lang w:val="en-US"/>
        </w:rPr>
        <w:t xml:space="preserve"> for artists is </w:t>
      </w:r>
      <w:r>
        <w:rPr>
          <w:lang w:val="en-US"/>
        </w:rPr>
        <w:t>provided</w:t>
      </w:r>
      <w:r w:rsidR="00453690">
        <w:rPr>
          <w:lang w:val="en-US"/>
        </w:rPr>
        <w:t xml:space="preserve"> </w:t>
      </w:r>
      <w:r w:rsidR="00453690" w:rsidRPr="00453690">
        <w:rPr>
          <w:lang w:val="en-US"/>
        </w:rPr>
        <w:t xml:space="preserve">through a wide variety of instruments. </w:t>
      </w:r>
      <w:r w:rsidR="00453690">
        <w:rPr>
          <w:lang w:val="en-US"/>
        </w:rPr>
        <w:t>T</w:t>
      </w:r>
      <w:r w:rsidR="00453690" w:rsidRPr="00453690">
        <w:rPr>
          <w:lang w:val="en-US"/>
        </w:rPr>
        <w:t>he individual federal state foundations for the arts and culture play a particularly important role in this context. Widespread forms of support include financial assistance for art projects, the purchase of works of art, the commissioning of artwork, the awarding of scholarships, the provision of facilities for exhibitions and performances as well as studios and workshops, the awarding of monetary pr</w:t>
      </w:r>
      <w:r w:rsidR="00453690">
        <w:rPr>
          <w:lang w:val="en-US"/>
        </w:rPr>
        <w:t>izes and the granting of publi</w:t>
      </w:r>
      <w:r w:rsidR="00453690" w:rsidRPr="00453690">
        <w:rPr>
          <w:lang w:val="en-US"/>
        </w:rPr>
        <w:t xml:space="preserve">cation subsidies. </w:t>
      </w:r>
      <w:r w:rsidR="002E79EC" w:rsidRPr="002E79EC">
        <w:rPr>
          <w:lang w:val="en-US"/>
        </w:rPr>
        <w:t xml:space="preserve">German artists </w:t>
      </w:r>
      <w:r w:rsidR="002E79EC">
        <w:rPr>
          <w:lang w:val="en-US"/>
        </w:rPr>
        <w:t xml:space="preserve">also </w:t>
      </w:r>
      <w:r w:rsidR="002E79EC" w:rsidRPr="002E79EC">
        <w:rPr>
          <w:lang w:val="en-US"/>
        </w:rPr>
        <w:t xml:space="preserve">benefit from a comprehensive infrastructure of arts </w:t>
      </w:r>
      <w:proofErr w:type="spellStart"/>
      <w:r w:rsidR="002E79EC" w:rsidRPr="002E79EC">
        <w:rPr>
          <w:lang w:val="en-US"/>
        </w:rPr>
        <w:t>organisations</w:t>
      </w:r>
      <w:proofErr w:type="spellEnd"/>
      <w:r w:rsidR="002E79EC" w:rsidRPr="002E79EC">
        <w:rPr>
          <w:lang w:val="en-US"/>
        </w:rPr>
        <w:t xml:space="preserve"> </w:t>
      </w:r>
      <w:r w:rsidR="002E79EC">
        <w:rPr>
          <w:lang w:val="en-US"/>
        </w:rPr>
        <w:t>that are present in each federal state</w:t>
      </w:r>
      <w:r w:rsidR="002E79EC" w:rsidRPr="002E79EC">
        <w:rPr>
          <w:lang w:val="en-US"/>
        </w:rPr>
        <w:t xml:space="preserve">. A </w:t>
      </w:r>
      <w:proofErr w:type="spellStart"/>
      <w:r w:rsidR="002E79EC" w:rsidRPr="002E79EC">
        <w:rPr>
          <w:lang w:val="en-US"/>
        </w:rPr>
        <w:t>Kunsthalle</w:t>
      </w:r>
      <w:proofErr w:type="spellEnd"/>
      <w:r w:rsidR="002E79EC" w:rsidRPr="002E79EC">
        <w:rPr>
          <w:lang w:val="en-US"/>
        </w:rPr>
        <w:t xml:space="preserve"> or a </w:t>
      </w:r>
      <w:proofErr w:type="spellStart"/>
      <w:r w:rsidR="002E79EC" w:rsidRPr="002E79EC">
        <w:rPr>
          <w:lang w:val="en-US"/>
        </w:rPr>
        <w:t>Kunsthaus</w:t>
      </w:r>
      <w:proofErr w:type="spellEnd"/>
      <w:r w:rsidR="002E79EC" w:rsidRPr="002E79EC">
        <w:rPr>
          <w:lang w:val="en-US"/>
        </w:rPr>
        <w:t xml:space="preserve"> is a non-commercial institution and is devoted to presenting national and international contemporary art. Most </w:t>
      </w:r>
      <w:proofErr w:type="spellStart"/>
      <w:r w:rsidR="002E79EC" w:rsidRPr="002E79EC">
        <w:rPr>
          <w:lang w:val="en-US"/>
        </w:rPr>
        <w:t>Kunsthallen</w:t>
      </w:r>
      <w:proofErr w:type="spellEnd"/>
      <w:r w:rsidR="002E79EC" w:rsidRPr="002E79EC">
        <w:rPr>
          <w:lang w:val="en-US"/>
        </w:rPr>
        <w:t xml:space="preserve"> are publicly financed or operated by foundations. A </w:t>
      </w:r>
      <w:proofErr w:type="spellStart"/>
      <w:r w:rsidR="002E79EC" w:rsidRPr="002E79EC">
        <w:rPr>
          <w:lang w:val="en-US"/>
        </w:rPr>
        <w:t>Kunstverein</w:t>
      </w:r>
      <w:proofErr w:type="spellEnd"/>
      <w:r w:rsidR="002E79EC" w:rsidRPr="002E79EC">
        <w:rPr>
          <w:lang w:val="en-US"/>
        </w:rPr>
        <w:t xml:space="preserve"> is an art association. There are around 300 </w:t>
      </w:r>
      <w:r w:rsidR="002E79EC">
        <w:rPr>
          <w:lang w:val="en-US"/>
        </w:rPr>
        <w:t>such</w:t>
      </w:r>
      <w:r w:rsidR="002E79EC" w:rsidRPr="002E79EC">
        <w:rPr>
          <w:lang w:val="en-US"/>
        </w:rPr>
        <w:t xml:space="preserve"> associations, devoted to the promotion and presentation of contemporary art. </w:t>
      </w:r>
      <w:r w:rsidR="002E79EC">
        <w:rPr>
          <w:lang w:val="en-US"/>
        </w:rPr>
        <w:t xml:space="preserve">They are </w:t>
      </w:r>
      <w:r w:rsidR="002E79EC" w:rsidRPr="002E79EC">
        <w:rPr>
          <w:lang w:val="en-US"/>
        </w:rPr>
        <w:t xml:space="preserve">supported by their members, and their </w:t>
      </w:r>
      <w:proofErr w:type="spellStart"/>
      <w:r w:rsidR="002E79EC" w:rsidRPr="002E79EC">
        <w:rPr>
          <w:lang w:val="en-US"/>
        </w:rPr>
        <w:t>programme</w:t>
      </w:r>
      <w:proofErr w:type="spellEnd"/>
      <w:r w:rsidR="002E79EC" w:rsidRPr="002E79EC">
        <w:rPr>
          <w:lang w:val="en-US"/>
        </w:rPr>
        <w:t xml:space="preserve"> is both local and international. </w:t>
      </w:r>
      <w:r w:rsidR="002E79EC">
        <w:rPr>
          <w:lang w:val="en-US"/>
        </w:rPr>
        <w:t>Additionally, many German cities</w:t>
      </w:r>
      <w:r w:rsidR="002E79EC" w:rsidRPr="002E79EC">
        <w:rPr>
          <w:lang w:val="en-US"/>
        </w:rPr>
        <w:t xml:space="preserve"> have </w:t>
      </w:r>
      <w:r w:rsidR="0076114A">
        <w:rPr>
          <w:lang w:val="en-US"/>
        </w:rPr>
        <w:t xml:space="preserve">a </w:t>
      </w:r>
      <w:proofErr w:type="spellStart"/>
      <w:r w:rsidR="0076114A">
        <w:rPr>
          <w:lang w:val="en-US"/>
        </w:rPr>
        <w:t>Künstlerhaus</w:t>
      </w:r>
      <w:proofErr w:type="spellEnd"/>
      <w:r w:rsidR="002E79EC">
        <w:rPr>
          <w:lang w:val="en-US"/>
        </w:rPr>
        <w:t xml:space="preserve"> or a</w:t>
      </w:r>
      <w:r w:rsidR="002E79EC" w:rsidRPr="002E79EC">
        <w:rPr>
          <w:lang w:val="en-US"/>
        </w:rPr>
        <w:t>rtis</w:t>
      </w:r>
      <w:r w:rsidR="002E79EC">
        <w:rPr>
          <w:lang w:val="en-US"/>
        </w:rPr>
        <w:t xml:space="preserve">ts’ house. These </w:t>
      </w:r>
      <w:proofErr w:type="spellStart"/>
      <w:r w:rsidR="002E79EC">
        <w:rPr>
          <w:lang w:val="en-US"/>
        </w:rPr>
        <w:t>organisations</w:t>
      </w:r>
      <w:proofErr w:type="spellEnd"/>
      <w:r w:rsidR="002E79EC">
        <w:rPr>
          <w:lang w:val="en-US"/>
        </w:rPr>
        <w:t xml:space="preserve"> support artists by providing</w:t>
      </w:r>
      <w:r w:rsidR="002E79EC" w:rsidRPr="002E79EC">
        <w:rPr>
          <w:lang w:val="en-US"/>
        </w:rPr>
        <w:t xml:space="preserve"> working scholarships, or studio apartments and workshops that </w:t>
      </w:r>
      <w:r w:rsidR="002E79EC">
        <w:rPr>
          <w:lang w:val="en-US"/>
        </w:rPr>
        <w:t>are</w:t>
      </w:r>
      <w:r w:rsidR="002E79EC" w:rsidRPr="002E79EC">
        <w:rPr>
          <w:lang w:val="en-US"/>
        </w:rPr>
        <w:t xml:space="preserve"> available for a limited period of time. As places where art is produced, artists’ houses often also serve as a platform for the presentation and communication of current trends in contemporary art.</w:t>
      </w:r>
    </w:p>
    <w:p w14:paraId="59410A95" w14:textId="77777777" w:rsidR="000F743D" w:rsidRDefault="000F743D" w:rsidP="005B2223">
      <w:pPr>
        <w:rPr>
          <w:lang w:val="en-US"/>
        </w:rPr>
      </w:pPr>
    </w:p>
    <w:p w14:paraId="1FCEF820" w14:textId="00FB0834" w:rsidR="005B2223" w:rsidRDefault="005B2223" w:rsidP="005A7766">
      <w:pPr>
        <w:rPr>
          <w:lang w:val="en-US"/>
        </w:rPr>
      </w:pPr>
      <w:r w:rsidRPr="005B2223">
        <w:rPr>
          <w:u w:val="single"/>
          <w:lang w:val="en-US"/>
        </w:rPr>
        <w:t>Grants and awards for artists</w:t>
      </w:r>
      <w:r>
        <w:rPr>
          <w:lang w:val="en-US"/>
        </w:rPr>
        <w:t xml:space="preserve"> are thus coming from a number of varied public sources, not to mention the private sources such as arts foundations. Tools exist to help artists find the relevant financing. T</w:t>
      </w:r>
      <w:r w:rsidRPr="005B2223">
        <w:rPr>
          <w:lang w:val="en-US"/>
        </w:rPr>
        <w:t xml:space="preserve">he web portal </w:t>
      </w:r>
      <w:proofErr w:type="spellStart"/>
      <w:r w:rsidRPr="005B2223">
        <w:rPr>
          <w:lang w:val="en-US"/>
        </w:rPr>
        <w:t>Kulturpreise</w:t>
      </w:r>
      <w:proofErr w:type="spellEnd"/>
      <w:r w:rsidRPr="005B2223">
        <w:rPr>
          <w:lang w:val="en-US"/>
        </w:rPr>
        <w:t xml:space="preserve"> Online and the </w:t>
      </w:r>
      <w:proofErr w:type="spellStart"/>
      <w:r w:rsidRPr="005B2223">
        <w:rPr>
          <w:lang w:val="en-US"/>
        </w:rPr>
        <w:t>Deutsches</w:t>
      </w:r>
      <w:proofErr w:type="spellEnd"/>
      <w:r w:rsidRPr="005B2223">
        <w:rPr>
          <w:lang w:val="en-US"/>
        </w:rPr>
        <w:t xml:space="preserve"> </w:t>
      </w:r>
      <w:proofErr w:type="spellStart"/>
      <w:r w:rsidRPr="005B2223">
        <w:rPr>
          <w:lang w:val="en-US"/>
        </w:rPr>
        <w:t>Informationszentrum</w:t>
      </w:r>
      <w:proofErr w:type="spellEnd"/>
      <w:r w:rsidRPr="005B2223">
        <w:rPr>
          <w:lang w:val="en-US"/>
        </w:rPr>
        <w:t xml:space="preserve"> </w:t>
      </w:r>
      <w:proofErr w:type="spellStart"/>
      <w:r w:rsidRPr="005B2223">
        <w:rPr>
          <w:lang w:val="en-US"/>
        </w:rPr>
        <w:t>Kulturförderung</w:t>
      </w:r>
      <w:proofErr w:type="spellEnd"/>
      <w:r w:rsidRPr="005B2223">
        <w:rPr>
          <w:lang w:val="en-US"/>
        </w:rPr>
        <w:t xml:space="preserve"> provide information on the range of individual support funding available from awards and foundation grants. </w:t>
      </w:r>
      <w:r>
        <w:rPr>
          <w:lang w:val="en-US"/>
        </w:rPr>
        <w:t>Additionally, the</w:t>
      </w:r>
      <w:r w:rsidRPr="005B2223">
        <w:rPr>
          <w:lang w:val="en-US"/>
        </w:rPr>
        <w:t xml:space="preserve"> Handbook of Cultural Awards</w:t>
      </w:r>
      <w:r>
        <w:rPr>
          <w:lang w:val="en-US"/>
        </w:rPr>
        <w:t xml:space="preserve"> has been published regularly for several decades and the 2010 edition</w:t>
      </w:r>
      <w:r w:rsidRPr="005B2223">
        <w:rPr>
          <w:lang w:val="en-US"/>
        </w:rPr>
        <w:t xml:space="preserve"> </w:t>
      </w:r>
      <w:r>
        <w:rPr>
          <w:lang w:val="en-US"/>
        </w:rPr>
        <w:t xml:space="preserve">listed over 2500 awards and scholarships. Of these 13% were specifically addressed to the visual arts. </w:t>
      </w:r>
      <w:r w:rsidR="002E79EC">
        <w:rPr>
          <w:lang w:val="en-US"/>
        </w:rPr>
        <w:lastRenderedPageBreak/>
        <w:t xml:space="preserve">Additional support is available for </w:t>
      </w:r>
      <w:r w:rsidR="005A7766">
        <w:rPr>
          <w:lang w:val="en-US"/>
        </w:rPr>
        <w:t xml:space="preserve">women artists, such as the ‘Gabriele </w:t>
      </w:r>
      <w:proofErr w:type="spellStart"/>
      <w:r w:rsidR="005A7766">
        <w:rPr>
          <w:lang w:val="en-US"/>
        </w:rPr>
        <w:t>Münter</w:t>
      </w:r>
      <w:proofErr w:type="spellEnd"/>
      <w:r w:rsidR="005A7766">
        <w:rPr>
          <w:lang w:val="en-US"/>
        </w:rPr>
        <w:t xml:space="preserve"> Prize’</w:t>
      </w:r>
      <w:r w:rsidR="005A7766" w:rsidRPr="005A7766">
        <w:rPr>
          <w:lang w:val="en-US"/>
        </w:rPr>
        <w:t xml:space="preserve"> awarded by the Federal Ministry for Family Affairs, Senior Citizens, Women and Youth to professional women artists over the age of 40 for their works. Germany is also home to the largest interdisciplinary association of women artists in </w:t>
      </w:r>
      <w:r w:rsidR="00BC636D" w:rsidRPr="005A7766">
        <w:rPr>
          <w:lang w:val="en-US"/>
        </w:rPr>
        <w:t>Europe</w:t>
      </w:r>
      <w:r w:rsidR="005A7766" w:rsidRPr="005A7766">
        <w:rPr>
          <w:lang w:val="en-US"/>
        </w:rPr>
        <w:t>: GEDOK, the federation</w:t>
      </w:r>
      <w:r w:rsidR="005A7766">
        <w:rPr>
          <w:lang w:val="en-US"/>
        </w:rPr>
        <w:t xml:space="preserve"> of woman artists and patrons of the arts, which offers awards in a number of cultural disciplines.</w:t>
      </w:r>
    </w:p>
    <w:p w14:paraId="32E1BF78" w14:textId="77777777" w:rsidR="00CF336D" w:rsidRDefault="00CF336D" w:rsidP="00D10A1B">
      <w:pPr>
        <w:rPr>
          <w:lang w:val="en-US"/>
        </w:rPr>
      </w:pPr>
    </w:p>
    <w:p w14:paraId="4340DE8E" w14:textId="3EF05A0C" w:rsidR="00C03205" w:rsidRPr="00360333" w:rsidRDefault="00C03205" w:rsidP="00D10A1B">
      <w:pPr>
        <w:rPr>
          <w:lang w:val="en-US"/>
        </w:rPr>
      </w:pPr>
      <w:r w:rsidRPr="00C03205">
        <w:rPr>
          <w:lang w:val="en-US"/>
        </w:rPr>
        <w:t xml:space="preserve">Artists </w:t>
      </w:r>
      <w:r w:rsidR="005B2223">
        <w:rPr>
          <w:lang w:val="en-US"/>
        </w:rPr>
        <w:t xml:space="preserve">in Germany </w:t>
      </w:r>
      <w:r w:rsidRPr="00C03205">
        <w:rPr>
          <w:lang w:val="en-US"/>
        </w:rPr>
        <w:t xml:space="preserve">enjoy comprehensive </w:t>
      </w:r>
      <w:r w:rsidRPr="00C03205">
        <w:rPr>
          <w:u w:val="single"/>
          <w:lang w:val="en-US"/>
        </w:rPr>
        <w:t>social security coverage</w:t>
      </w:r>
      <w:r w:rsidRPr="00C03205">
        <w:rPr>
          <w:lang w:val="en-US"/>
        </w:rPr>
        <w:t>. When employed, they are covered under the general social security regimes. Self-employed artists are obliged to join the Artists' Social Insurance Fund (KSK). The special protection for self-e</w:t>
      </w:r>
      <w:r>
        <w:rPr>
          <w:lang w:val="en-US"/>
        </w:rPr>
        <w:t xml:space="preserve">mployed artists </w:t>
      </w:r>
      <w:r w:rsidRPr="00C03205">
        <w:rPr>
          <w:lang w:val="en-US"/>
        </w:rPr>
        <w:t>provided for under the Artists' Social Insurance Act (KSVG) encompasses statutory health, long-term or old age care and pension insurance. Like employees, the artists and writers must only pay half of the social insurance contribution. Sixty percen</w:t>
      </w:r>
      <w:r>
        <w:rPr>
          <w:lang w:val="en-US"/>
        </w:rPr>
        <w:t>t of what could be labelled an ‘</w:t>
      </w:r>
      <w:r w:rsidRPr="00C03205">
        <w:rPr>
          <w:lang w:val="en-US"/>
        </w:rPr>
        <w:t>employers</w:t>
      </w:r>
      <w:r>
        <w:rPr>
          <w:lang w:val="en-US"/>
        </w:rPr>
        <w:t>’ share’</w:t>
      </w:r>
      <w:r w:rsidRPr="00C03205">
        <w:rPr>
          <w:lang w:val="en-US"/>
        </w:rPr>
        <w:t xml:space="preserve"> is paid by the companies that regularly exploit and market the work of artists and writers</w:t>
      </w:r>
      <w:r w:rsidR="00DA51F3">
        <w:rPr>
          <w:lang w:val="en-US"/>
        </w:rPr>
        <w:t>, such as t</w:t>
      </w:r>
      <w:r w:rsidR="00220EA5">
        <w:rPr>
          <w:lang w:val="en-US"/>
        </w:rPr>
        <w:t xml:space="preserve">heaters, broadcasters and publishers, galleries and </w:t>
      </w:r>
      <w:r w:rsidR="00DA51F3">
        <w:rPr>
          <w:lang w:val="en-US"/>
        </w:rPr>
        <w:t xml:space="preserve">art </w:t>
      </w:r>
      <w:r w:rsidR="00220EA5">
        <w:rPr>
          <w:lang w:val="en-US"/>
        </w:rPr>
        <w:t>dealers</w:t>
      </w:r>
      <w:r w:rsidRPr="00C03205">
        <w:rPr>
          <w:lang w:val="en-US"/>
        </w:rPr>
        <w:t>. To that effect, the enterprises are charged with an artists' social insurance levy (</w:t>
      </w:r>
      <w:proofErr w:type="spellStart"/>
      <w:r w:rsidRPr="00C03205">
        <w:rPr>
          <w:lang w:val="en-US"/>
        </w:rPr>
        <w:t>Künstlersozialabgabe</w:t>
      </w:r>
      <w:proofErr w:type="spellEnd"/>
      <w:r w:rsidRPr="00C03205">
        <w:rPr>
          <w:lang w:val="en-US"/>
        </w:rPr>
        <w:t xml:space="preserve">) on all fees and royalties paid. In addition, the Federal Government provides a subsidy to </w:t>
      </w:r>
      <w:r>
        <w:rPr>
          <w:lang w:val="en-US"/>
        </w:rPr>
        <w:t>help fund the ‘employee's share’</w:t>
      </w:r>
      <w:r w:rsidRPr="00C03205">
        <w:rPr>
          <w:lang w:val="en-US"/>
        </w:rPr>
        <w:t xml:space="preserve"> with 40% of the expenditures of the Artists' Social Insurance Fund.</w:t>
      </w:r>
    </w:p>
    <w:p w14:paraId="0AC31FD8" w14:textId="6889A1DD" w:rsidR="00C45D4E" w:rsidRDefault="00C45D4E"/>
    <w:p w14:paraId="422E815D" w14:textId="4D0DD358" w:rsidR="00067D9E" w:rsidRPr="00067D9E" w:rsidRDefault="00342618" w:rsidP="00067D9E">
      <w:pPr>
        <w:rPr>
          <w:lang w:val="en-US"/>
        </w:rPr>
      </w:pPr>
      <w:r>
        <w:rPr>
          <w:lang w:val="en-US"/>
        </w:rPr>
        <w:t xml:space="preserve">The </w:t>
      </w:r>
      <w:proofErr w:type="spellStart"/>
      <w:r w:rsidRPr="00342618">
        <w:rPr>
          <w:lang w:val="en-US"/>
        </w:rPr>
        <w:t>Internationale</w:t>
      </w:r>
      <w:proofErr w:type="spellEnd"/>
      <w:r w:rsidRPr="00342618">
        <w:rPr>
          <w:lang w:val="en-US"/>
        </w:rPr>
        <w:t xml:space="preserve"> </w:t>
      </w:r>
      <w:proofErr w:type="spellStart"/>
      <w:r w:rsidRPr="00342618">
        <w:rPr>
          <w:lang w:val="en-US"/>
        </w:rPr>
        <w:t>Gesellschaft</w:t>
      </w:r>
      <w:proofErr w:type="spellEnd"/>
      <w:r w:rsidRPr="00342618">
        <w:rPr>
          <w:lang w:val="en-US"/>
        </w:rPr>
        <w:t xml:space="preserve"> der </w:t>
      </w:r>
      <w:proofErr w:type="spellStart"/>
      <w:r w:rsidRPr="00342618">
        <w:rPr>
          <w:lang w:val="en-US"/>
        </w:rPr>
        <w:t>Bildenden</w:t>
      </w:r>
      <w:proofErr w:type="spellEnd"/>
      <w:r w:rsidRPr="00342618">
        <w:rPr>
          <w:lang w:val="en-US"/>
        </w:rPr>
        <w:t xml:space="preserve"> </w:t>
      </w:r>
      <w:proofErr w:type="spellStart"/>
      <w:r w:rsidRPr="00342618">
        <w:rPr>
          <w:lang w:val="en-US"/>
        </w:rPr>
        <w:t>Künste</w:t>
      </w:r>
      <w:proofErr w:type="spellEnd"/>
      <w:r w:rsidRPr="00342618">
        <w:rPr>
          <w:lang w:val="en-US"/>
        </w:rPr>
        <w:t xml:space="preserve"> (IGBK)</w:t>
      </w:r>
      <w:r>
        <w:rPr>
          <w:lang w:val="en-US"/>
        </w:rPr>
        <w:t xml:space="preserve">, the German branch of the </w:t>
      </w:r>
      <w:r w:rsidRPr="00342618">
        <w:rPr>
          <w:lang w:val="en-US"/>
        </w:rPr>
        <w:t>International Association of Art (IAA)</w:t>
      </w:r>
      <w:r>
        <w:rPr>
          <w:lang w:val="en-US"/>
        </w:rPr>
        <w:t xml:space="preserve">, is </w:t>
      </w:r>
      <w:r w:rsidR="00067D9E">
        <w:rPr>
          <w:lang w:val="en-US"/>
        </w:rPr>
        <w:t>very</w:t>
      </w:r>
      <w:r>
        <w:rPr>
          <w:lang w:val="en-US"/>
        </w:rPr>
        <w:t xml:space="preserve"> active is </w:t>
      </w:r>
      <w:r w:rsidR="00067D9E">
        <w:rPr>
          <w:lang w:val="en-US"/>
        </w:rPr>
        <w:t xml:space="preserve">providing support for artists, in particular where issues of </w:t>
      </w:r>
      <w:r w:rsidR="00067D9E" w:rsidRPr="00067D9E">
        <w:rPr>
          <w:u w:val="single"/>
          <w:lang w:val="en-US"/>
        </w:rPr>
        <w:t>cultural mobility</w:t>
      </w:r>
      <w:r w:rsidR="00067D9E">
        <w:rPr>
          <w:lang w:val="en-US"/>
        </w:rPr>
        <w:t xml:space="preserve"> are concerned. They provide services for dealing with the </w:t>
      </w:r>
      <w:r w:rsidR="00067D9E" w:rsidRPr="00067D9E">
        <w:rPr>
          <w:lang w:val="en-US"/>
        </w:rPr>
        <w:t>red tape associated with exchange and exhibition projects abroad</w:t>
      </w:r>
      <w:r w:rsidR="00067D9E">
        <w:rPr>
          <w:lang w:val="en-US"/>
        </w:rPr>
        <w:t xml:space="preserve"> and </w:t>
      </w:r>
      <w:proofErr w:type="spellStart"/>
      <w:r w:rsidR="00067D9E">
        <w:rPr>
          <w:lang w:val="en-US"/>
        </w:rPr>
        <w:t>organise</w:t>
      </w:r>
      <w:proofErr w:type="spellEnd"/>
      <w:r w:rsidR="00067D9E">
        <w:rPr>
          <w:lang w:val="en-US"/>
        </w:rPr>
        <w:t xml:space="preserve"> workshops on relevant themes, the most recent one being about social security in relation to European mobility for visual artists. Together with </w:t>
      </w:r>
      <w:r w:rsidR="00067D9E" w:rsidRPr="00067D9E">
        <w:rPr>
          <w:lang w:val="en-US"/>
        </w:rPr>
        <w:t>the International Theatre Institute in Germany (ITI</w:t>
      </w:r>
      <w:r w:rsidR="00B46D5B">
        <w:rPr>
          <w:lang w:val="en-US"/>
        </w:rPr>
        <w:t>)</w:t>
      </w:r>
      <w:r w:rsidR="00067D9E" w:rsidRPr="00067D9E">
        <w:rPr>
          <w:lang w:val="en-US"/>
        </w:rPr>
        <w:t xml:space="preserve"> </w:t>
      </w:r>
      <w:r w:rsidR="00067D9E">
        <w:rPr>
          <w:lang w:val="en-US"/>
        </w:rPr>
        <w:t>and with support from</w:t>
      </w:r>
      <w:r w:rsidR="00067D9E" w:rsidRPr="00067D9E">
        <w:rPr>
          <w:lang w:val="en-US"/>
        </w:rPr>
        <w:t xml:space="preserve"> the Federal Government Commissioner for Culture and the Media</w:t>
      </w:r>
      <w:r w:rsidR="00067D9E">
        <w:rPr>
          <w:lang w:val="en-US"/>
        </w:rPr>
        <w:t>, IGBK created the Touring Artists website. The project</w:t>
      </w:r>
      <w:r w:rsidR="00067D9E" w:rsidRPr="00067D9E">
        <w:rPr>
          <w:lang w:val="en-US"/>
        </w:rPr>
        <w:t xml:space="preserve"> provides information on visas, residence, transport, customs, taxes, social insurance, and copyright related to cross-border mobility for ar</w:t>
      </w:r>
      <w:r w:rsidR="005A7766">
        <w:rPr>
          <w:lang w:val="en-US"/>
        </w:rPr>
        <w:t xml:space="preserve">tists working internationally. Federal initiatives for cultural exchange are also numerous. The Goethe Institute is not only a language </w:t>
      </w:r>
      <w:proofErr w:type="spellStart"/>
      <w:r w:rsidR="005A7766">
        <w:rPr>
          <w:lang w:val="en-US"/>
        </w:rPr>
        <w:t>centre</w:t>
      </w:r>
      <w:proofErr w:type="spellEnd"/>
      <w:r w:rsidR="005A7766">
        <w:rPr>
          <w:lang w:val="en-US"/>
        </w:rPr>
        <w:t>, but also a</w:t>
      </w:r>
      <w:r w:rsidR="000F1547">
        <w:rPr>
          <w:lang w:val="en-US"/>
        </w:rPr>
        <w:t>n international</w:t>
      </w:r>
      <w:r w:rsidR="005A7766">
        <w:rPr>
          <w:lang w:val="en-US"/>
        </w:rPr>
        <w:t xml:space="preserve"> </w:t>
      </w:r>
      <w:r w:rsidR="000F1547">
        <w:rPr>
          <w:lang w:val="en-US"/>
        </w:rPr>
        <w:t>network</w:t>
      </w:r>
      <w:r w:rsidR="005A7766">
        <w:rPr>
          <w:lang w:val="en-US"/>
        </w:rPr>
        <w:t xml:space="preserve"> for cultural events and festivals, while the </w:t>
      </w:r>
      <w:r w:rsidR="005A7766" w:rsidRPr="005A7766">
        <w:rPr>
          <w:lang w:val="en-US"/>
        </w:rPr>
        <w:t xml:space="preserve">German Academic Exchange Service (DAAD) </w:t>
      </w:r>
      <w:r w:rsidR="005A7766">
        <w:rPr>
          <w:lang w:val="en-US"/>
        </w:rPr>
        <w:t>runs</w:t>
      </w:r>
      <w:r w:rsidR="005A7766" w:rsidRPr="005A7766">
        <w:rPr>
          <w:lang w:val="en-US"/>
        </w:rPr>
        <w:t xml:space="preserve"> the 'Artists in Berlin' </w:t>
      </w:r>
      <w:proofErr w:type="spellStart"/>
      <w:r w:rsidR="005A7766" w:rsidRPr="005A7766">
        <w:rPr>
          <w:lang w:val="en-US"/>
        </w:rPr>
        <w:t>programme</w:t>
      </w:r>
      <w:proofErr w:type="spellEnd"/>
      <w:r w:rsidR="005A7766" w:rsidRPr="005A7766">
        <w:rPr>
          <w:lang w:val="en-US"/>
        </w:rPr>
        <w:t xml:space="preserve"> which awards grants to foreign artists, in visual arts, literature, and music, to work in Berlin for one year.</w:t>
      </w:r>
      <w:r w:rsidR="005A7766">
        <w:rPr>
          <w:lang w:val="en-US"/>
        </w:rPr>
        <w:t xml:space="preserve"> </w:t>
      </w:r>
      <w:r w:rsidR="005A7766" w:rsidRPr="005A7766">
        <w:rPr>
          <w:lang w:val="en-US"/>
        </w:rPr>
        <w:t xml:space="preserve">The </w:t>
      </w:r>
      <w:proofErr w:type="spellStart"/>
      <w:r w:rsidR="005A7766" w:rsidRPr="005A7766">
        <w:rPr>
          <w:lang w:val="en-US"/>
        </w:rPr>
        <w:t>Institut</w:t>
      </w:r>
      <w:proofErr w:type="spellEnd"/>
      <w:r w:rsidR="005A7766" w:rsidRPr="005A7766">
        <w:rPr>
          <w:lang w:val="en-US"/>
        </w:rPr>
        <w:t xml:space="preserve"> </w:t>
      </w:r>
      <w:proofErr w:type="spellStart"/>
      <w:r w:rsidR="005A7766" w:rsidRPr="005A7766">
        <w:rPr>
          <w:lang w:val="en-US"/>
        </w:rPr>
        <w:t>für</w:t>
      </w:r>
      <w:proofErr w:type="spellEnd"/>
      <w:r w:rsidR="005A7766" w:rsidRPr="005A7766">
        <w:rPr>
          <w:lang w:val="en-US"/>
        </w:rPr>
        <w:t xml:space="preserve"> </w:t>
      </w:r>
      <w:proofErr w:type="spellStart"/>
      <w:r w:rsidR="005A7766" w:rsidRPr="005A7766">
        <w:rPr>
          <w:lang w:val="en-US"/>
        </w:rPr>
        <w:t>Auslandsbeziehungen</w:t>
      </w:r>
      <w:proofErr w:type="spellEnd"/>
      <w:r w:rsidR="005A7766" w:rsidRPr="005A7766">
        <w:rPr>
          <w:lang w:val="en-US"/>
        </w:rPr>
        <w:t xml:space="preserve"> (</w:t>
      </w:r>
      <w:proofErr w:type="spellStart"/>
      <w:r w:rsidR="005A7766" w:rsidRPr="005A7766">
        <w:rPr>
          <w:lang w:val="en-US"/>
        </w:rPr>
        <w:t>ifa</w:t>
      </w:r>
      <w:proofErr w:type="spellEnd"/>
      <w:r w:rsidR="005A7766" w:rsidRPr="005A7766">
        <w:rPr>
          <w:lang w:val="en-US"/>
        </w:rPr>
        <w:t>) promotes art and cultural exchange in exhibitions, dia</w:t>
      </w:r>
      <w:r w:rsidR="005A7766">
        <w:rPr>
          <w:lang w:val="en-US"/>
        </w:rPr>
        <w:t xml:space="preserve">logue and conference </w:t>
      </w:r>
      <w:proofErr w:type="spellStart"/>
      <w:r w:rsidR="005A7766">
        <w:rPr>
          <w:lang w:val="en-US"/>
        </w:rPr>
        <w:t>programmes</w:t>
      </w:r>
      <w:proofErr w:type="spellEnd"/>
      <w:r w:rsidR="005A7766">
        <w:rPr>
          <w:lang w:val="en-US"/>
        </w:rPr>
        <w:t xml:space="preserve">, as well as </w:t>
      </w:r>
      <w:r w:rsidR="000F1547">
        <w:rPr>
          <w:lang w:val="en-US"/>
        </w:rPr>
        <w:t xml:space="preserve">providing </w:t>
      </w:r>
      <w:r w:rsidR="005A7766">
        <w:rPr>
          <w:lang w:val="en-US"/>
        </w:rPr>
        <w:t xml:space="preserve">comprehensive information </w:t>
      </w:r>
      <w:r w:rsidR="000F1547">
        <w:rPr>
          <w:lang w:val="en-US"/>
        </w:rPr>
        <w:t>on its website to help foreign artists navigate</w:t>
      </w:r>
      <w:r w:rsidR="005A7766">
        <w:rPr>
          <w:lang w:val="en-US"/>
        </w:rPr>
        <w:t xml:space="preserve"> Germany’s cultural se</w:t>
      </w:r>
      <w:r w:rsidR="000F1547">
        <w:rPr>
          <w:lang w:val="en-US"/>
        </w:rPr>
        <w:t>ctor.</w:t>
      </w:r>
    </w:p>
    <w:p w14:paraId="1699856D" w14:textId="34CEDB5E" w:rsidR="00342618" w:rsidRDefault="00342618">
      <w:pPr>
        <w:rPr>
          <w:lang w:val="en-US"/>
        </w:rPr>
      </w:pPr>
    </w:p>
    <w:p w14:paraId="14E9277F" w14:textId="77777777" w:rsidR="0050515E" w:rsidRPr="006B4614" w:rsidRDefault="0050515E" w:rsidP="0050515E">
      <w:pPr>
        <w:pStyle w:val="Heading3"/>
        <w:rPr>
          <w:lang w:val="en-US"/>
        </w:rPr>
      </w:pPr>
      <w:bookmarkStart w:id="14" w:name="_Toc503362531"/>
      <w:r w:rsidRPr="006B4614">
        <w:rPr>
          <w:lang w:val="en-US"/>
        </w:rPr>
        <w:t>Interviews</w:t>
      </w:r>
      <w:bookmarkEnd w:id="14"/>
    </w:p>
    <w:p w14:paraId="4F9CF06D" w14:textId="397658A8" w:rsidR="0050515E" w:rsidRDefault="003068BA" w:rsidP="0050515E">
      <w:pPr>
        <w:rPr>
          <w:lang w:val="en-US"/>
        </w:rPr>
      </w:pPr>
      <w:r>
        <w:rPr>
          <w:lang w:val="en-US"/>
        </w:rPr>
        <w:t xml:space="preserve">For an expert opinion on German arts policy and opportunities, Berlin-based curator and writer Ellen Blumenstein </w:t>
      </w:r>
      <w:r w:rsidR="008268F7">
        <w:rPr>
          <w:lang w:val="en-US"/>
        </w:rPr>
        <w:t xml:space="preserve">and curator and current interim director of </w:t>
      </w:r>
      <w:r w:rsidR="008268F7" w:rsidRPr="00CA3B36">
        <w:rPr>
          <w:lang w:val="en-US"/>
        </w:rPr>
        <w:t xml:space="preserve">Bonner </w:t>
      </w:r>
      <w:proofErr w:type="spellStart"/>
      <w:r w:rsidR="008268F7" w:rsidRPr="00CA3B36">
        <w:rPr>
          <w:lang w:val="en-US"/>
        </w:rPr>
        <w:t>Kunstverein</w:t>
      </w:r>
      <w:proofErr w:type="spellEnd"/>
      <w:r w:rsidR="008268F7" w:rsidRPr="00CA3B36">
        <w:rPr>
          <w:lang w:val="en-US"/>
        </w:rPr>
        <w:t xml:space="preserve"> </w:t>
      </w:r>
      <w:r w:rsidR="008268F7">
        <w:rPr>
          <w:lang w:val="en-US"/>
        </w:rPr>
        <w:t>Kyla McDonald were</w:t>
      </w:r>
      <w:r>
        <w:rPr>
          <w:lang w:val="en-US"/>
        </w:rPr>
        <w:t xml:space="preserve"> interviewed. These are some of the findings that resulted from the conversation.</w:t>
      </w:r>
    </w:p>
    <w:p w14:paraId="52C075C4" w14:textId="77777777" w:rsidR="0050515E" w:rsidRDefault="0050515E" w:rsidP="0050515E">
      <w:pPr>
        <w:rPr>
          <w:lang w:val="en-US"/>
        </w:rPr>
      </w:pPr>
    </w:p>
    <w:p w14:paraId="6B7CD579" w14:textId="51C4DDD7" w:rsidR="003068BA" w:rsidRDefault="003068BA" w:rsidP="003068BA">
      <w:pPr>
        <w:pStyle w:val="ListParagraph"/>
        <w:numPr>
          <w:ilvl w:val="0"/>
          <w:numId w:val="9"/>
        </w:numPr>
        <w:rPr>
          <w:lang w:val="en-US"/>
        </w:rPr>
      </w:pPr>
      <w:r>
        <w:rPr>
          <w:lang w:val="en-US"/>
        </w:rPr>
        <w:t xml:space="preserve">The </w:t>
      </w:r>
      <w:r w:rsidRPr="00BC0BFA">
        <w:rPr>
          <w:u w:val="single"/>
          <w:lang w:val="en-US"/>
        </w:rPr>
        <w:t>German model</w:t>
      </w:r>
      <w:r>
        <w:rPr>
          <w:lang w:val="en-US"/>
        </w:rPr>
        <w:t xml:space="preserve"> is strong in fostering communication and creating social networks and intellectual exchange. Nonetheless, at institutional level the federal model can </w:t>
      </w:r>
      <w:r>
        <w:rPr>
          <w:lang w:val="en-US"/>
        </w:rPr>
        <w:lastRenderedPageBreak/>
        <w:t xml:space="preserve">create an inflexible system with little space for freelance curators and </w:t>
      </w:r>
      <w:r w:rsidR="00BC0BFA">
        <w:rPr>
          <w:lang w:val="en-US"/>
        </w:rPr>
        <w:t>an insufficiently wide range of artists</w:t>
      </w:r>
      <w:r w:rsidR="002479D4">
        <w:rPr>
          <w:lang w:val="en-US"/>
        </w:rPr>
        <w:t xml:space="preserve"> being involved</w:t>
      </w:r>
      <w:r w:rsidR="00BC0BFA">
        <w:rPr>
          <w:lang w:val="en-US"/>
        </w:rPr>
        <w:t>.</w:t>
      </w:r>
      <w:r w:rsidR="008268F7">
        <w:rPr>
          <w:lang w:val="en-US"/>
        </w:rPr>
        <w:t xml:space="preserve"> Budgets can also differ between regions and cities, depending on their economic situation and affluence, causing similar institutions to receive different levels of funding support depending on their location. On a positive note, </w:t>
      </w:r>
      <w:r w:rsidR="00C55346">
        <w:rPr>
          <w:lang w:val="en-US"/>
        </w:rPr>
        <w:t>a federal model is perhaps more geographically inclusive overall and can sidestep the issues associated with perceived over-</w:t>
      </w:r>
      <w:proofErr w:type="spellStart"/>
      <w:r w:rsidR="00C55346">
        <w:rPr>
          <w:lang w:val="en-US"/>
        </w:rPr>
        <w:t>centralisation</w:t>
      </w:r>
      <w:proofErr w:type="spellEnd"/>
      <w:r w:rsidR="00C55346">
        <w:rPr>
          <w:lang w:val="en-US"/>
        </w:rPr>
        <w:t xml:space="preserve"> or </w:t>
      </w:r>
      <w:proofErr w:type="spellStart"/>
      <w:r w:rsidR="00C55346">
        <w:rPr>
          <w:lang w:val="en-US"/>
        </w:rPr>
        <w:t>decentralisation</w:t>
      </w:r>
      <w:proofErr w:type="spellEnd"/>
      <w:r w:rsidR="00C55346">
        <w:rPr>
          <w:lang w:val="en-US"/>
        </w:rPr>
        <w:t>.</w:t>
      </w:r>
    </w:p>
    <w:p w14:paraId="1EE6B9E6" w14:textId="22A829FC" w:rsidR="00BC0BFA" w:rsidRDefault="00BC0BFA" w:rsidP="003068BA">
      <w:pPr>
        <w:pStyle w:val="ListParagraph"/>
        <w:numPr>
          <w:ilvl w:val="0"/>
          <w:numId w:val="9"/>
        </w:numPr>
        <w:rPr>
          <w:lang w:val="en-US"/>
        </w:rPr>
      </w:pPr>
      <w:r>
        <w:rPr>
          <w:lang w:val="en-US"/>
        </w:rPr>
        <w:t xml:space="preserve">For </w:t>
      </w:r>
      <w:r w:rsidRPr="004467E2">
        <w:rPr>
          <w:u w:val="single"/>
          <w:lang w:val="en-US"/>
        </w:rPr>
        <w:t>international opportunities</w:t>
      </w:r>
      <w:r>
        <w:rPr>
          <w:lang w:val="en-US"/>
        </w:rPr>
        <w:t xml:space="preserve">, the world-wide network of the Goethe institute can be helpful for freelance arts professionals. </w:t>
      </w:r>
      <w:r w:rsidR="004467E2">
        <w:rPr>
          <w:lang w:val="en-US"/>
        </w:rPr>
        <w:t>In some cases, the offices in various countries have sufficient flexibility to develop projects directly with artists or curators who approach them. Schemes that invite groups of curators for longer planned visits to network with local artists and institutions can also result in a wide range of international outcomes and collaborations, something that the Nordic countries and Belgium are particularly good at doing.</w:t>
      </w:r>
      <w:r w:rsidR="00611138">
        <w:rPr>
          <w:lang w:val="en-US"/>
        </w:rPr>
        <w:t xml:space="preserve"> </w:t>
      </w:r>
      <w:r w:rsidR="00231840">
        <w:rPr>
          <w:lang w:val="en-US"/>
        </w:rPr>
        <w:t>In many cases</w:t>
      </w:r>
      <w:r w:rsidR="00611138">
        <w:rPr>
          <w:lang w:val="en-US"/>
        </w:rPr>
        <w:t xml:space="preserve">, however, cultural mobility is aided mainly by informal networks and peer groups, especially in cities such as Berlin that draw a large number of visual arts practitioners. The links forged in one city or another can </w:t>
      </w:r>
      <w:r w:rsidR="00231840">
        <w:rPr>
          <w:lang w:val="en-US"/>
        </w:rPr>
        <w:t>lead to opportunities in other parts of the world.</w:t>
      </w:r>
    </w:p>
    <w:p w14:paraId="2E4CE9EA" w14:textId="1EC588F3" w:rsidR="004467E2" w:rsidRDefault="004467E2" w:rsidP="003068BA">
      <w:pPr>
        <w:pStyle w:val="ListParagraph"/>
        <w:numPr>
          <w:ilvl w:val="0"/>
          <w:numId w:val="9"/>
        </w:numPr>
        <w:rPr>
          <w:lang w:val="en-US"/>
        </w:rPr>
      </w:pPr>
      <w:r w:rsidRPr="00351CA9">
        <w:rPr>
          <w:lang w:val="en-US"/>
        </w:rPr>
        <w:t xml:space="preserve">Public </w:t>
      </w:r>
      <w:r w:rsidRPr="00351CA9">
        <w:rPr>
          <w:u w:val="single"/>
          <w:lang w:val="en-US"/>
        </w:rPr>
        <w:t>funding for artists</w:t>
      </w:r>
      <w:r w:rsidR="002479D4">
        <w:rPr>
          <w:lang w:val="en-US"/>
        </w:rPr>
        <w:t xml:space="preserve"> in Germany does exist</w:t>
      </w:r>
      <w:r>
        <w:rPr>
          <w:lang w:val="en-US"/>
        </w:rPr>
        <w:t>, b</w:t>
      </w:r>
      <w:r w:rsidR="00351CA9">
        <w:rPr>
          <w:lang w:val="en-US"/>
        </w:rPr>
        <w:t>ut is primarily directed at younger artists and can be difficult to access at a more mature state of one’s career.</w:t>
      </w:r>
      <w:r w:rsidR="00231840">
        <w:rPr>
          <w:lang w:val="en-US"/>
        </w:rPr>
        <w:t xml:space="preserve"> The process can also be quite bureaucratic for both individuals and institutions, entailing an administrative burden.</w:t>
      </w:r>
      <w:r w:rsidR="00351CA9">
        <w:rPr>
          <w:lang w:val="en-US"/>
        </w:rPr>
        <w:t xml:space="preserve"> Increasingly freelance arts professionals rely on family support to sustain their career, as well as teaching jobs. Private foundations also offer funding opportunities, but can be conservative in their choices.</w:t>
      </w:r>
    </w:p>
    <w:p w14:paraId="11D5F5E3" w14:textId="722F4CC8" w:rsidR="0050515E" w:rsidRDefault="00904337" w:rsidP="00CC28F1">
      <w:pPr>
        <w:pStyle w:val="ListParagraph"/>
        <w:numPr>
          <w:ilvl w:val="0"/>
          <w:numId w:val="9"/>
        </w:numPr>
        <w:rPr>
          <w:lang w:val="en-US"/>
        </w:rPr>
      </w:pPr>
      <w:r w:rsidRPr="00904337">
        <w:rPr>
          <w:lang w:val="en-US"/>
        </w:rPr>
        <w:t xml:space="preserve">The acclaimed </w:t>
      </w:r>
      <w:r w:rsidRPr="00904337">
        <w:rPr>
          <w:u w:val="single"/>
          <w:lang w:val="en-US"/>
        </w:rPr>
        <w:t>social security scheme</w:t>
      </w:r>
      <w:r w:rsidRPr="00904337">
        <w:rPr>
          <w:lang w:val="en-US"/>
        </w:rPr>
        <w:t xml:space="preserve"> for creative professionals in Germany is unfortunately not open to curators</w:t>
      </w:r>
      <w:r w:rsidR="002479D4">
        <w:rPr>
          <w:lang w:val="en-US"/>
        </w:rPr>
        <w:t>,</w:t>
      </w:r>
      <w:r w:rsidRPr="00904337">
        <w:rPr>
          <w:lang w:val="en-US"/>
        </w:rPr>
        <w:t xml:space="preserve"> whose work is considered more </w:t>
      </w:r>
      <w:proofErr w:type="spellStart"/>
      <w:r w:rsidRPr="00904337">
        <w:rPr>
          <w:lang w:val="en-US"/>
        </w:rPr>
        <w:t>organisational</w:t>
      </w:r>
      <w:proofErr w:type="spellEnd"/>
      <w:r w:rsidRPr="00904337">
        <w:rPr>
          <w:lang w:val="en-US"/>
        </w:rPr>
        <w:t xml:space="preserve"> and managerial. The reluctance to expand the scheme comes from the high cost it incurs and there are periodical attempts by political groups to abolish </w:t>
      </w:r>
      <w:r>
        <w:rPr>
          <w:lang w:val="en-US"/>
        </w:rPr>
        <w:t>the scheme altogether.</w:t>
      </w:r>
      <w:r w:rsidR="00C55346">
        <w:rPr>
          <w:lang w:val="en-US"/>
        </w:rPr>
        <w:t xml:space="preserve"> This would be a great loss for artists and writers on fluctuating incomes, as they can currently access healthcare and other benefits based on relatively low contributions.</w:t>
      </w:r>
    </w:p>
    <w:p w14:paraId="567E9F5C" w14:textId="49E8474E" w:rsidR="00904337" w:rsidRDefault="002479D4" w:rsidP="00CC28F1">
      <w:pPr>
        <w:pStyle w:val="ListParagraph"/>
        <w:numPr>
          <w:ilvl w:val="0"/>
          <w:numId w:val="9"/>
        </w:numPr>
        <w:rPr>
          <w:lang w:val="en-US"/>
        </w:rPr>
      </w:pPr>
      <w:r>
        <w:rPr>
          <w:lang w:val="en-US"/>
        </w:rPr>
        <w:t xml:space="preserve">In schools, </w:t>
      </w:r>
      <w:r w:rsidRPr="00D10012">
        <w:rPr>
          <w:u w:val="single"/>
          <w:lang w:val="en-US"/>
        </w:rPr>
        <w:t>arts education</w:t>
      </w:r>
      <w:r>
        <w:rPr>
          <w:lang w:val="en-US"/>
        </w:rPr>
        <w:t xml:space="preserve"> sometimes suffers due to the wide variety of subjects available: students can avoid the visual arts altogether. Moreover, outreach </w:t>
      </w:r>
      <w:proofErr w:type="spellStart"/>
      <w:r>
        <w:rPr>
          <w:lang w:val="en-US"/>
        </w:rPr>
        <w:t>programmes</w:t>
      </w:r>
      <w:proofErr w:type="spellEnd"/>
      <w:r>
        <w:rPr>
          <w:lang w:val="en-US"/>
        </w:rPr>
        <w:t xml:space="preserve"> in museums and galleries are </w:t>
      </w:r>
      <w:r w:rsidR="00611138">
        <w:rPr>
          <w:lang w:val="en-US"/>
        </w:rPr>
        <w:t xml:space="preserve">felt to be </w:t>
      </w:r>
      <w:r>
        <w:rPr>
          <w:lang w:val="en-US"/>
        </w:rPr>
        <w:t xml:space="preserve">not as well developed </w:t>
      </w:r>
      <w:r w:rsidR="00D10012">
        <w:rPr>
          <w:lang w:val="en-US"/>
        </w:rPr>
        <w:t xml:space="preserve">and wide-ranging </w:t>
      </w:r>
      <w:r>
        <w:rPr>
          <w:lang w:val="en-US"/>
        </w:rPr>
        <w:t xml:space="preserve">as </w:t>
      </w:r>
      <w:r w:rsidR="00D10012">
        <w:rPr>
          <w:lang w:val="en-US"/>
        </w:rPr>
        <w:t>those in the UK.</w:t>
      </w:r>
    </w:p>
    <w:p w14:paraId="10F602A0" w14:textId="77777777" w:rsidR="00904337" w:rsidRPr="00904337" w:rsidRDefault="00904337" w:rsidP="00904337">
      <w:pPr>
        <w:pStyle w:val="ListParagraph"/>
        <w:rPr>
          <w:lang w:val="en-US"/>
        </w:rPr>
      </w:pPr>
    </w:p>
    <w:p w14:paraId="162488DB" w14:textId="1BD5E78B" w:rsidR="00067D9E" w:rsidRPr="0050515E" w:rsidRDefault="00067D9E" w:rsidP="00067D9E">
      <w:pPr>
        <w:pStyle w:val="Heading2"/>
      </w:pPr>
      <w:bookmarkStart w:id="15" w:name="_Toc503362532"/>
      <w:r w:rsidRPr="00067D9E">
        <w:t>Canada</w:t>
      </w:r>
      <w:bookmarkEnd w:id="15"/>
    </w:p>
    <w:p w14:paraId="424BCB94" w14:textId="77777777" w:rsidR="007E4615" w:rsidRDefault="007E4615" w:rsidP="007E4615">
      <w:pPr>
        <w:pStyle w:val="Heading3"/>
      </w:pPr>
      <w:bookmarkStart w:id="16" w:name="_Toc503362533"/>
      <w:r>
        <w:t>Overview</w:t>
      </w:r>
      <w:bookmarkEnd w:id="16"/>
      <w:r>
        <w:t xml:space="preserve"> </w:t>
      </w:r>
    </w:p>
    <w:p w14:paraId="4F54AB90" w14:textId="5D5E422F" w:rsidR="00A75AC5" w:rsidRDefault="00B96C72" w:rsidP="007A72BC">
      <w:pPr>
        <w:rPr>
          <w:lang w:val="en-US"/>
        </w:rPr>
      </w:pPr>
      <w:r w:rsidRPr="00B96C72">
        <w:rPr>
          <w:lang w:val="en-US"/>
        </w:rPr>
        <w:t xml:space="preserve">The national cultural policy model adopted by successive federal governments in Canada has been one of "cultural affirmation" through sustained intervention, arm's length relations within the public sector, inter-governmental co-operation and consultations and mixed public-private sector partnerships. Some </w:t>
      </w:r>
      <w:proofErr w:type="spellStart"/>
      <w:r w:rsidRPr="00B96C72">
        <w:rPr>
          <w:lang w:val="en-US"/>
        </w:rPr>
        <w:t>decentralisation</w:t>
      </w:r>
      <w:proofErr w:type="spellEnd"/>
      <w:r w:rsidRPr="00B96C72">
        <w:rPr>
          <w:lang w:val="en-US"/>
        </w:rPr>
        <w:t xml:space="preserve"> of federal cultural policies and </w:t>
      </w:r>
      <w:proofErr w:type="spellStart"/>
      <w:r w:rsidRPr="00B96C72">
        <w:rPr>
          <w:lang w:val="en-US"/>
        </w:rPr>
        <w:t>programmes</w:t>
      </w:r>
      <w:proofErr w:type="spellEnd"/>
      <w:r w:rsidRPr="00B96C72">
        <w:rPr>
          <w:lang w:val="en-US"/>
        </w:rPr>
        <w:t xml:space="preserve"> is effected thro</w:t>
      </w:r>
      <w:r w:rsidR="007A72BC">
        <w:rPr>
          <w:lang w:val="en-US"/>
        </w:rPr>
        <w:t>ugh regional and local offices: t</w:t>
      </w:r>
      <w:r w:rsidR="007A72BC" w:rsidRPr="007A72BC">
        <w:rPr>
          <w:lang w:val="en-US"/>
        </w:rPr>
        <w:t>here are ten provinces in Canada and three territories</w:t>
      </w:r>
      <w:r w:rsidR="007A72BC">
        <w:rPr>
          <w:lang w:val="en-US"/>
        </w:rPr>
        <w:t>.</w:t>
      </w:r>
      <w:r w:rsidR="007A72BC" w:rsidRPr="007A72BC">
        <w:rPr>
          <w:lang w:val="en-US"/>
        </w:rPr>
        <w:t xml:space="preserve"> </w:t>
      </w:r>
      <w:r w:rsidR="00112E5C">
        <w:rPr>
          <w:lang w:val="en-US"/>
        </w:rPr>
        <w:t>Nonetheless, federal spending in culture is higher than provincial and munici</w:t>
      </w:r>
      <w:r w:rsidR="005A3152">
        <w:rPr>
          <w:lang w:val="en-US"/>
        </w:rPr>
        <w:t>pal spending, with these two areas contributing similar amounts</w:t>
      </w:r>
      <w:r w:rsidR="00112E5C">
        <w:rPr>
          <w:lang w:val="en-US"/>
        </w:rPr>
        <w:t xml:space="preserve">. </w:t>
      </w:r>
      <w:r w:rsidR="007A72BC">
        <w:rPr>
          <w:lang w:val="en-US"/>
        </w:rPr>
        <w:t xml:space="preserve">Some of the larger </w:t>
      </w:r>
      <w:r w:rsidR="007A72BC">
        <w:rPr>
          <w:lang w:val="en-US"/>
        </w:rPr>
        <w:lastRenderedPageBreak/>
        <w:t>provinces do i</w:t>
      </w:r>
      <w:r w:rsidR="007A72BC" w:rsidRPr="007A72BC">
        <w:rPr>
          <w:lang w:val="en-US"/>
        </w:rPr>
        <w:t xml:space="preserve">mplement support </w:t>
      </w:r>
      <w:proofErr w:type="spellStart"/>
      <w:r w:rsidR="007A72BC" w:rsidRPr="007A72BC">
        <w:rPr>
          <w:lang w:val="en-US"/>
        </w:rPr>
        <w:t>programmes</w:t>
      </w:r>
      <w:proofErr w:type="spellEnd"/>
      <w:r w:rsidR="007A72BC" w:rsidRPr="007A72BC">
        <w:rPr>
          <w:lang w:val="en-US"/>
        </w:rPr>
        <w:t xml:space="preserve"> in m</w:t>
      </w:r>
      <w:r w:rsidR="007A72BC">
        <w:rPr>
          <w:lang w:val="en-US"/>
        </w:rPr>
        <w:t>any</w:t>
      </w:r>
      <w:r w:rsidR="007A72BC" w:rsidRPr="007A72BC">
        <w:rPr>
          <w:lang w:val="en-US"/>
        </w:rPr>
        <w:t xml:space="preserve"> areas of cultural development</w:t>
      </w:r>
      <w:r w:rsidR="007A72BC">
        <w:rPr>
          <w:lang w:val="en-US"/>
        </w:rPr>
        <w:t xml:space="preserve">, with Quebec being a particularly good example. </w:t>
      </w:r>
    </w:p>
    <w:p w14:paraId="17EE0C91" w14:textId="77777777" w:rsidR="007A72BC" w:rsidRDefault="007A72BC" w:rsidP="007A72BC">
      <w:pPr>
        <w:rPr>
          <w:lang w:val="en-US"/>
        </w:rPr>
      </w:pPr>
    </w:p>
    <w:p w14:paraId="407D1BF5" w14:textId="06BFD1E8" w:rsidR="004232CB" w:rsidRDefault="00BC636D" w:rsidP="004962DC">
      <w:pPr>
        <w:rPr>
          <w:lang w:val="en-US"/>
        </w:rPr>
      </w:pPr>
      <w:r>
        <w:rPr>
          <w:lang w:val="en-US"/>
        </w:rPr>
        <w:t xml:space="preserve">The province of </w:t>
      </w:r>
      <w:r w:rsidR="004962DC" w:rsidRPr="004962DC">
        <w:rPr>
          <w:lang w:val="en-US"/>
        </w:rPr>
        <w:t xml:space="preserve">Quebec was </w:t>
      </w:r>
      <w:r w:rsidR="004962DC">
        <w:rPr>
          <w:lang w:val="en-US"/>
        </w:rPr>
        <w:t xml:space="preserve">in fact </w:t>
      </w:r>
      <w:r w:rsidR="004962DC" w:rsidRPr="004962DC">
        <w:rPr>
          <w:lang w:val="en-US"/>
        </w:rPr>
        <w:t xml:space="preserve">the first and only province to have its own </w:t>
      </w:r>
      <w:r w:rsidR="004962DC" w:rsidRPr="004962DC">
        <w:rPr>
          <w:u w:val="single"/>
          <w:lang w:val="en-US"/>
        </w:rPr>
        <w:t>status of the artist legislation</w:t>
      </w:r>
      <w:r w:rsidR="004962DC" w:rsidRPr="004962DC">
        <w:rPr>
          <w:lang w:val="en-US"/>
        </w:rPr>
        <w:t xml:space="preserve"> </w:t>
      </w:r>
      <w:r w:rsidR="004962DC">
        <w:rPr>
          <w:lang w:val="en-US"/>
        </w:rPr>
        <w:t xml:space="preserve">in 1987, </w:t>
      </w:r>
      <w:r>
        <w:rPr>
          <w:lang w:val="en-US"/>
        </w:rPr>
        <w:t>pre</w:t>
      </w:r>
      <w:r w:rsidRPr="004962DC">
        <w:rPr>
          <w:lang w:val="en-US"/>
        </w:rPr>
        <w:t>ce</w:t>
      </w:r>
      <w:r>
        <w:rPr>
          <w:lang w:val="en-US"/>
        </w:rPr>
        <w:t>ding</w:t>
      </w:r>
      <w:r w:rsidR="004962DC" w:rsidRPr="004962DC">
        <w:rPr>
          <w:lang w:val="en-US"/>
        </w:rPr>
        <w:t xml:space="preserve"> the federal law</w:t>
      </w:r>
      <w:r w:rsidR="004962DC">
        <w:rPr>
          <w:lang w:val="en-US"/>
        </w:rPr>
        <w:t xml:space="preserve"> which came into force in 1995. The Status of the Artist Act </w:t>
      </w:r>
      <w:r w:rsidR="004962DC" w:rsidRPr="004962DC">
        <w:rPr>
          <w:lang w:val="en-US"/>
        </w:rPr>
        <w:t xml:space="preserve">officially </w:t>
      </w:r>
      <w:proofErr w:type="spellStart"/>
      <w:r w:rsidR="004962DC" w:rsidRPr="004962DC">
        <w:rPr>
          <w:lang w:val="en-US"/>
        </w:rPr>
        <w:t>recognises</w:t>
      </w:r>
      <w:proofErr w:type="spellEnd"/>
      <w:r w:rsidR="004962DC" w:rsidRPr="004962DC">
        <w:rPr>
          <w:lang w:val="en-US"/>
        </w:rPr>
        <w:t xml:space="preserve"> the contributions artists make to Canadian cultural, social, economic and political life and establishes a policy on the professional status of the artist. However, as </w:t>
      </w:r>
      <w:proofErr w:type="spellStart"/>
      <w:r w:rsidR="004962DC" w:rsidRPr="004962DC">
        <w:rPr>
          <w:lang w:val="en-US"/>
        </w:rPr>
        <w:t>Labour</w:t>
      </w:r>
      <w:proofErr w:type="spellEnd"/>
      <w:r w:rsidR="004962DC" w:rsidRPr="004962DC">
        <w:rPr>
          <w:lang w:val="en-US"/>
        </w:rPr>
        <w:t xml:space="preserve"> Law falls under provincial jurisdiction in Canada</w:t>
      </w:r>
      <w:r w:rsidR="004962DC">
        <w:rPr>
          <w:lang w:val="en-US"/>
        </w:rPr>
        <w:t xml:space="preserve">, the Status of the Artist Act </w:t>
      </w:r>
      <w:r w:rsidR="004962DC" w:rsidRPr="004962DC">
        <w:rPr>
          <w:lang w:val="en-US"/>
        </w:rPr>
        <w:t>applies only to artists engaged by the federal government. Recently other provinces have introduced Status of the Artist-enabling legislation and efforts continue to be made to encourage more provinces to consider enacting similar legislation.</w:t>
      </w:r>
      <w:r w:rsidR="00F24DFE" w:rsidRPr="00F24DFE">
        <w:rPr>
          <w:lang w:val="en-US"/>
        </w:rPr>
        <w:t xml:space="preserve"> </w:t>
      </w:r>
    </w:p>
    <w:p w14:paraId="72915C70" w14:textId="77777777" w:rsidR="00094CDB" w:rsidRDefault="00094CDB" w:rsidP="00094CDB">
      <w:pPr>
        <w:rPr>
          <w:lang w:val="en-US"/>
        </w:rPr>
      </w:pPr>
    </w:p>
    <w:p w14:paraId="0A078554" w14:textId="4659C7A2" w:rsidR="00094CDB" w:rsidRPr="00BC636D" w:rsidRDefault="00094CDB" w:rsidP="00094CDB">
      <w:pPr>
        <w:rPr>
          <w:lang w:val="en-US"/>
        </w:rPr>
      </w:pPr>
      <w:r w:rsidRPr="00BC636D">
        <w:rPr>
          <w:lang w:val="en-US"/>
        </w:rPr>
        <w:t xml:space="preserve">At the </w:t>
      </w:r>
      <w:r w:rsidRPr="00BC636D">
        <w:rPr>
          <w:u w:val="single"/>
          <w:lang w:val="en-US"/>
        </w:rPr>
        <w:t>federal level</w:t>
      </w:r>
      <w:r w:rsidRPr="00BC636D">
        <w:rPr>
          <w:lang w:val="en-US"/>
        </w:rPr>
        <w:t>, the arts are supported through the Department of Canadian Heritage and through the Canada Council for the Arts. The Department of Canadian Heritage “promotes an environment in which all Canadians take full advantage of dynamic cultural experiences, celebrating our history and heritage, and participating in b</w:t>
      </w:r>
      <w:r>
        <w:rPr>
          <w:lang w:val="en-US"/>
        </w:rPr>
        <w:t xml:space="preserve">uilding creative communities.” </w:t>
      </w:r>
      <w:r w:rsidRPr="00BC636D">
        <w:rPr>
          <w:lang w:val="en-US"/>
        </w:rPr>
        <w:t xml:space="preserve">The Canada Arts Presentation Fund supports approximately 600 professional arts festivals and performing arts series every </w:t>
      </w:r>
      <w:proofErr w:type="gramStart"/>
      <w:r w:rsidRPr="00BC636D">
        <w:rPr>
          <w:lang w:val="en-US"/>
        </w:rPr>
        <w:t>years</w:t>
      </w:r>
      <w:proofErr w:type="gramEnd"/>
      <w:r w:rsidRPr="00BC636D">
        <w:rPr>
          <w:lang w:val="en-US"/>
        </w:rPr>
        <w:t xml:space="preserve">, as well as other activities related to art presentation, in more than 250 cities or communities across Canada. The Canada Cultural Spaces Fund supports the improvement, renovation and construction of arts and heritage facilities, as well as the acquisition of specialized equipment, improving physical conditions for artistic creativity and innovation. As part of the 2016 budget, the federal government announced that over the next two years it will be investing an additional CAD 168.2 million in cultural infrastructure through this Fund. The Canada Cultural Investment Fund aims to strengthen the </w:t>
      </w:r>
      <w:proofErr w:type="spellStart"/>
      <w:r w:rsidRPr="00BC636D">
        <w:rPr>
          <w:lang w:val="en-US"/>
        </w:rPr>
        <w:t>organisational</w:t>
      </w:r>
      <w:proofErr w:type="spellEnd"/>
      <w:r w:rsidRPr="00BC636D">
        <w:rPr>
          <w:lang w:val="en-US"/>
        </w:rPr>
        <w:t xml:space="preserve">, administrative and financial effectiveness of cultural, arts and heritage </w:t>
      </w:r>
      <w:proofErr w:type="spellStart"/>
      <w:r w:rsidRPr="00BC636D">
        <w:rPr>
          <w:lang w:val="en-US"/>
        </w:rPr>
        <w:t>organisations</w:t>
      </w:r>
      <w:proofErr w:type="spellEnd"/>
      <w:r w:rsidRPr="00BC636D">
        <w:rPr>
          <w:lang w:val="en-US"/>
        </w:rPr>
        <w:t xml:space="preserve">. Supporting both the infrastructure and the </w:t>
      </w:r>
      <w:proofErr w:type="spellStart"/>
      <w:r w:rsidRPr="00BC636D">
        <w:rPr>
          <w:lang w:val="en-US"/>
        </w:rPr>
        <w:t>organisational</w:t>
      </w:r>
      <w:proofErr w:type="spellEnd"/>
      <w:r w:rsidRPr="00BC636D">
        <w:rPr>
          <w:lang w:val="en-US"/>
        </w:rPr>
        <w:t xml:space="preserve"> capacity of the cultural sector should ensure its sustainability and vitality in the long-term. </w:t>
      </w:r>
    </w:p>
    <w:p w14:paraId="5D92942C" w14:textId="77777777" w:rsidR="00094CDB" w:rsidRPr="00BC636D" w:rsidRDefault="00094CDB" w:rsidP="00094CDB">
      <w:pPr>
        <w:rPr>
          <w:lang w:val="en-US"/>
        </w:rPr>
      </w:pPr>
    </w:p>
    <w:p w14:paraId="5B4B4B37" w14:textId="6F5DD870" w:rsidR="00094CDB" w:rsidRPr="00BC636D" w:rsidRDefault="00094CDB" w:rsidP="00094CDB">
      <w:pPr>
        <w:rPr>
          <w:lang w:val="en-US"/>
        </w:rPr>
      </w:pPr>
      <w:r w:rsidRPr="00BC636D">
        <w:rPr>
          <w:lang w:val="en-US"/>
        </w:rPr>
        <w:t xml:space="preserve">The Canada Council for the Arts, a Crown corporation within the Department of Canadian Heritage’s portfolio, is Canada’s </w:t>
      </w:r>
      <w:r w:rsidRPr="00094CDB">
        <w:rPr>
          <w:u w:val="single"/>
          <w:lang w:val="en-US"/>
        </w:rPr>
        <w:t>public arts funder</w:t>
      </w:r>
      <w:r w:rsidRPr="00BC636D">
        <w:rPr>
          <w:lang w:val="en-US"/>
        </w:rPr>
        <w:t xml:space="preserve">, with a mandate “to foster and promote the study and enjoyment of, and the production of works in, the arts.” The Canada Council for the Arts </w:t>
      </w:r>
      <w:r>
        <w:rPr>
          <w:lang w:val="en-US"/>
        </w:rPr>
        <w:t>offers</w:t>
      </w:r>
      <w:r w:rsidRPr="00BC636D">
        <w:rPr>
          <w:lang w:val="en-US"/>
        </w:rPr>
        <w:t xml:space="preserve"> a broad range of grants, services, prizes and payments to professional C</w:t>
      </w:r>
      <w:r>
        <w:rPr>
          <w:lang w:val="en-US"/>
        </w:rPr>
        <w:t xml:space="preserve">anadian artists and arts </w:t>
      </w:r>
      <w:proofErr w:type="spellStart"/>
      <w:r>
        <w:rPr>
          <w:lang w:val="en-US"/>
        </w:rPr>
        <w:t>organis</w:t>
      </w:r>
      <w:r w:rsidRPr="00BC636D">
        <w:rPr>
          <w:lang w:val="en-US"/>
        </w:rPr>
        <w:t>ations</w:t>
      </w:r>
      <w:proofErr w:type="spellEnd"/>
      <w:r w:rsidRPr="00BC636D">
        <w:rPr>
          <w:lang w:val="en-US"/>
        </w:rPr>
        <w:t>. In 2016, the federal government announced a significant funding increase to the Canada Council of</w:t>
      </w:r>
      <w:r>
        <w:rPr>
          <w:lang w:val="en-US"/>
        </w:rPr>
        <w:t xml:space="preserve"> CAD </w:t>
      </w:r>
      <w:r w:rsidRPr="00BC636D">
        <w:rPr>
          <w:lang w:val="en-US"/>
        </w:rPr>
        <w:t xml:space="preserve">550 million over five years (2016-2021), which will effectively double the </w:t>
      </w:r>
      <w:proofErr w:type="spellStart"/>
      <w:r w:rsidRPr="00BC636D">
        <w:rPr>
          <w:lang w:val="en-US"/>
        </w:rPr>
        <w:t>organisation’s</w:t>
      </w:r>
      <w:proofErr w:type="spellEnd"/>
      <w:r w:rsidRPr="00BC636D">
        <w:rPr>
          <w:lang w:val="en-US"/>
        </w:rPr>
        <w:t xml:space="preserve"> annual budget. The Canada Council has a new funding model launched in April 2017 that consists of six non-disciplinary, outcome-focused granting programs. Also, following a national summit on the Arts in a Digital World in March 2017, the Canada Council launched a CAD 88.5 million Digital Strategy Fund to run from 2017 to 2021. The fund encourages an overall approach that helps support Canadian artists, groups and arts organizations in understanding the digital world, engaging with it, and responding to the cultural and social changes it produces.</w:t>
      </w:r>
    </w:p>
    <w:p w14:paraId="7AD49D5B" w14:textId="77777777" w:rsidR="004232CB" w:rsidRDefault="004232CB" w:rsidP="004962DC">
      <w:pPr>
        <w:rPr>
          <w:lang w:val="en-US"/>
        </w:rPr>
      </w:pPr>
    </w:p>
    <w:p w14:paraId="28D9B79E" w14:textId="77777777" w:rsidR="004232CB" w:rsidRDefault="004232CB" w:rsidP="004232CB">
      <w:pPr>
        <w:rPr>
          <w:lang w:val="en-US"/>
        </w:rPr>
      </w:pPr>
      <w:r>
        <w:rPr>
          <w:lang w:val="en-US"/>
        </w:rPr>
        <w:t xml:space="preserve">Canada has had an </w:t>
      </w:r>
      <w:r w:rsidRPr="004962DC">
        <w:rPr>
          <w:u w:val="single"/>
          <w:lang w:val="en-US"/>
        </w:rPr>
        <w:t>Exhibition Payment Rights scheme</w:t>
      </w:r>
      <w:r>
        <w:rPr>
          <w:lang w:val="en-US"/>
        </w:rPr>
        <w:t xml:space="preserve"> in place since the late 1960s. </w:t>
      </w:r>
      <w:r w:rsidRPr="004962DC">
        <w:rPr>
          <w:lang w:val="en-US"/>
        </w:rPr>
        <w:t>Canada’s professional association for visual artists</w:t>
      </w:r>
      <w:r>
        <w:rPr>
          <w:lang w:val="en-US"/>
        </w:rPr>
        <w:t>, The</w:t>
      </w:r>
      <w:r w:rsidRPr="004962DC">
        <w:rPr>
          <w:lang w:val="en-US"/>
        </w:rPr>
        <w:t xml:space="preserve"> Canadian Artists’ Representation/Le Front des artistes </w:t>
      </w:r>
      <w:proofErr w:type="spellStart"/>
      <w:r w:rsidRPr="004962DC">
        <w:rPr>
          <w:lang w:val="en-US"/>
        </w:rPr>
        <w:t>canadiens</w:t>
      </w:r>
      <w:proofErr w:type="spellEnd"/>
      <w:r w:rsidRPr="004962DC">
        <w:rPr>
          <w:lang w:val="en-US"/>
        </w:rPr>
        <w:t xml:space="preserve"> (CARFAC) has issued its exhibition fee schedules, the equivalent of minimum wage for artists</w:t>
      </w:r>
      <w:r>
        <w:rPr>
          <w:lang w:val="en-US"/>
        </w:rPr>
        <w:t>, since 1968. The fee schedules</w:t>
      </w:r>
      <w:r w:rsidRPr="004962DC">
        <w:rPr>
          <w:lang w:val="en-US"/>
        </w:rPr>
        <w:t xml:space="preserve"> are updated yearly through </w:t>
      </w:r>
      <w:r w:rsidRPr="004962DC">
        <w:rPr>
          <w:lang w:val="en-US"/>
        </w:rPr>
        <w:lastRenderedPageBreak/>
        <w:t>negotiation and usage, and reflect increases in the cost of living. All fees are considered minimum payments for the use of the copyrights and/or the professional servi</w:t>
      </w:r>
      <w:r>
        <w:rPr>
          <w:lang w:val="en-US"/>
        </w:rPr>
        <w:t xml:space="preserve">ces of visual and media artists and </w:t>
      </w:r>
      <w:r w:rsidRPr="004962DC">
        <w:rPr>
          <w:lang w:val="en-US"/>
        </w:rPr>
        <w:t>CARFAC also provides a fees calculator for artists</w:t>
      </w:r>
      <w:r>
        <w:rPr>
          <w:lang w:val="en-US"/>
        </w:rPr>
        <w:t>.</w:t>
      </w:r>
    </w:p>
    <w:p w14:paraId="0ED4C898" w14:textId="77777777" w:rsidR="00F627F5" w:rsidRDefault="00F627F5" w:rsidP="004232CB">
      <w:pPr>
        <w:rPr>
          <w:lang w:val="en-US"/>
        </w:rPr>
      </w:pPr>
    </w:p>
    <w:p w14:paraId="1AB2C030" w14:textId="196AA89F" w:rsidR="00770F61" w:rsidRDefault="00F627F5" w:rsidP="004962DC">
      <w:pPr>
        <w:rPr>
          <w:lang w:val="en-US"/>
        </w:rPr>
      </w:pPr>
      <w:r>
        <w:rPr>
          <w:lang w:val="en-US"/>
        </w:rPr>
        <w:t xml:space="preserve">Nonetheless, </w:t>
      </w:r>
      <w:r w:rsidR="002D2495">
        <w:rPr>
          <w:lang w:val="en-US"/>
        </w:rPr>
        <w:t xml:space="preserve">artists and cultural workers do face many issues relating to income and accessing the </w:t>
      </w:r>
      <w:r w:rsidR="002D2495" w:rsidRPr="00770F61">
        <w:rPr>
          <w:u w:val="single"/>
          <w:lang w:val="en-US"/>
        </w:rPr>
        <w:t>welfare system</w:t>
      </w:r>
      <w:r w:rsidR="002D2495">
        <w:rPr>
          <w:lang w:val="en-US"/>
        </w:rPr>
        <w:t xml:space="preserve">. </w:t>
      </w:r>
      <w:r w:rsidR="004F7155">
        <w:rPr>
          <w:lang w:val="en-US"/>
        </w:rPr>
        <w:t xml:space="preserve">In respect of tax, deductions are available for reasonable expenses for self-employed artists, yet some have found these cannot be accessed if their low income prevents them from being classed as professionals by the Canada Revenue Agency. </w:t>
      </w:r>
      <w:r w:rsidR="002D2495">
        <w:rPr>
          <w:lang w:val="en-US"/>
        </w:rPr>
        <w:t xml:space="preserve">As freelancers, they are eligible to join the national pension and employment insurance </w:t>
      </w:r>
      <w:proofErr w:type="spellStart"/>
      <w:r w:rsidR="002D2495">
        <w:rPr>
          <w:lang w:val="en-US"/>
        </w:rPr>
        <w:t>programmes</w:t>
      </w:r>
      <w:proofErr w:type="spellEnd"/>
      <w:r w:rsidR="002D2495">
        <w:rPr>
          <w:lang w:val="en-US"/>
        </w:rPr>
        <w:t xml:space="preserve">, however the contributions can be prohibitive for those on lower incomes. </w:t>
      </w:r>
      <w:r w:rsidR="00BC636D" w:rsidRPr="00BC636D">
        <w:rPr>
          <w:lang w:val="en-US"/>
        </w:rPr>
        <w:t xml:space="preserve">There are a number of not-for-profit organizations, particularly in larger cities, that provide various types of support to artists. For example, the </w:t>
      </w:r>
      <w:r w:rsidR="004F7155">
        <w:rPr>
          <w:lang w:val="en-US"/>
        </w:rPr>
        <w:t>Artists Heath Alliance works together with t</w:t>
      </w:r>
      <w:r w:rsidR="004F7155" w:rsidRPr="004F7155">
        <w:rPr>
          <w:lang w:val="en-US"/>
        </w:rPr>
        <w:t xml:space="preserve">he Al and Malka Green Artists' Health Centre </w:t>
      </w:r>
      <w:r w:rsidR="004F7155">
        <w:rPr>
          <w:lang w:val="en-US"/>
        </w:rPr>
        <w:t xml:space="preserve">at the </w:t>
      </w:r>
      <w:r w:rsidR="004F7155" w:rsidRPr="004F7155">
        <w:rPr>
          <w:lang w:val="en-US"/>
        </w:rPr>
        <w:t>Toronto Western Hospital</w:t>
      </w:r>
      <w:r w:rsidR="004F7155">
        <w:rPr>
          <w:lang w:val="en-US"/>
        </w:rPr>
        <w:t xml:space="preserve"> to offer</w:t>
      </w:r>
      <w:r w:rsidR="004F7155" w:rsidRPr="004F7155">
        <w:rPr>
          <w:lang w:val="en-US"/>
        </w:rPr>
        <w:t xml:space="preserve"> both medical and complementary care to professional creative and performing artists</w:t>
      </w:r>
      <w:r w:rsidR="004F7155">
        <w:rPr>
          <w:lang w:val="en-US"/>
        </w:rPr>
        <w:t xml:space="preserve"> and to offer funding for artists of limited financial means to access medical care</w:t>
      </w:r>
      <w:r w:rsidR="004F7155" w:rsidRPr="004F7155">
        <w:rPr>
          <w:lang w:val="en-US"/>
        </w:rPr>
        <w:t>.</w:t>
      </w:r>
      <w:r w:rsidR="004F7155">
        <w:rPr>
          <w:lang w:val="en-US"/>
        </w:rPr>
        <w:t xml:space="preserve"> </w:t>
      </w:r>
      <w:r w:rsidR="00770F61">
        <w:rPr>
          <w:lang w:val="en-US"/>
        </w:rPr>
        <w:t xml:space="preserve">Senior artists also benefit from the </w:t>
      </w:r>
      <w:r w:rsidR="00770F61" w:rsidRPr="00066C23">
        <w:rPr>
          <w:lang w:val="en-US"/>
        </w:rPr>
        <w:t>Canadian Senior Artists Network (C-SARN)</w:t>
      </w:r>
      <w:r w:rsidR="00770F61">
        <w:rPr>
          <w:lang w:val="en-US"/>
        </w:rPr>
        <w:t xml:space="preserve">, </w:t>
      </w:r>
      <w:r w:rsidR="00770F61" w:rsidRPr="00066C23">
        <w:rPr>
          <w:lang w:val="en-US"/>
        </w:rPr>
        <w:t>launch</w:t>
      </w:r>
      <w:r w:rsidR="00770F61">
        <w:rPr>
          <w:lang w:val="en-US"/>
        </w:rPr>
        <w:t xml:space="preserve">ed in 2011 through a collaboration between artists’ </w:t>
      </w:r>
      <w:proofErr w:type="spellStart"/>
      <w:r w:rsidR="00770F61">
        <w:rPr>
          <w:lang w:val="en-US"/>
        </w:rPr>
        <w:t>organisations</w:t>
      </w:r>
      <w:proofErr w:type="spellEnd"/>
      <w:r w:rsidR="00770F61">
        <w:rPr>
          <w:lang w:val="en-US"/>
        </w:rPr>
        <w:t xml:space="preserve"> from different disciplines. Following a research project that revealed the issues facing older artists, C-SARN was created to focus </w:t>
      </w:r>
      <w:r w:rsidR="00770F61" w:rsidRPr="00066C23">
        <w:rPr>
          <w:lang w:val="en-US"/>
        </w:rPr>
        <w:t>exclusively on assisting professional artists to live out their senior years in dignity and respect.</w:t>
      </w:r>
    </w:p>
    <w:p w14:paraId="160977C6" w14:textId="77777777" w:rsidR="00770F61" w:rsidRDefault="00770F61" w:rsidP="004962DC">
      <w:pPr>
        <w:rPr>
          <w:lang w:val="en-US"/>
        </w:rPr>
      </w:pPr>
    </w:p>
    <w:p w14:paraId="22278290" w14:textId="4D941E43" w:rsidR="004962DC" w:rsidRDefault="00F24DFE" w:rsidP="00067D9E">
      <w:pPr>
        <w:rPr>
          <w:lang w:val="en-US"/>
        </w:rPr>
      </w:pPr>
      <w:r>
        <w:rPr>
          <w:lang w:val="en-US"/>
        </w:rPr>
        <w:t>Further support is available from the</w:t>
      </w:r>
      <w:r w:rsidRPr="00E0188A">
        <w:rPr>
          <w:lang w:val="en-US"/>
        </w:rPr>
        <w:t xml:space="preserve"> Cultural Human Resources Council (CHRC)</w:t>
      </w:r>
      <w:r>
        <w:rPr>
          <w:lang w:val="en-US"/>
        </w:rPr>
        <w:t xml:space="preserve">, which </w:t>
      </w:r>
      <w:r w:rsidRPr="00E0188A">
        <w:rPr>
          <w:lang w:val="en-US"/>
        </w:rPr>
        <w:t xml:space="preserve">brings together representatives of arts disciplines and cultural industries in the cultural sector to address the </w:t>
      </w:r>
      <w:r w:rsidRPr="00E0188A">
        <w:rPr>
          <w:u w:val="single"/>
          <w:lang w:val="en-US"/>
        </w:rPr>
        <w:t>training and career development</w:t>
      </w:r>
      <w:r w:rsidRPr="00E0188A">
        <w:rPr>
          <w:lang w:val="en-US"/>
        </w:rPr>
        <w:t xml:space="preserve"> needs of employers and cultural workers including artists, technical staff, managers and all others engaged professionally in the sector.</w:t>
      </w:r>
      <w:r>
        <w:rPr>
          <w:lang w:val="en-US"/>
        </w:rPr>
        <w:t xml:space="preserve"> As well as providing job listings in the cultural sector, it also </w:t>
      </w:r>
      <w:r w:rsidR="006E6E78">
        <w:rPr>
          <w:lang w:val="en-US"/>
        </w:rPr>
        <w:t>offers</w:t>
      </w:r>
      <w:r>
        <w:rPr>
          <w:lang w:val="en-US"/>
        </w:rPr>
        <w:t xml:space="preserve"> on-line courses on career management</w:t>
      </w:r>
      <w:r w:rsidR="00E57F09">
        <w:rPr>
          <w:lang w:val="en-US"/>
        </w:rPr>
        <w:t xml:space="preserve"> specific to </w:t>
      </w:r>
      <w:r>
        <w:rPr>
          <w:lang w:val="en-US"/>
        </w:rPr>
        <w:t xml:space="preserve">several disciplines, including visual arts and crafts. </w:t>
      </w:r>
      <w:r w:rsidR="00770F61" w:rsidRPr="00770F61">
        <w:rPr>
          <w:lang w:val="en-US"/>
        </w:rPr>
        <w:t xml:space="preserve">Canada has many </w:t>
      </w:r>
      <w:r w:rsidR="007E77DF">
        <w:rPr>
          <w:lang w:val="en-US"/>
        </w:rPr>
        <w:t xml:space="preserve">other </w:t>
      </w:r>
      <w:r w:rsidR="00770F61" w:rsidRPr="00770F61">
        <w:rPr>
          <w:lang w:val="en-US"/>
        </w:rPr>
        <w:t xml:space="preserve">excellent professional training </w:t>
      </w:r>
      <w:proofErr w:type="spellStart"/>
      <w:r w:rsidR="00770F61" w:rsidRPr="00770F61">
        <w:rPr>
          <w:lang w:val="en-US"/>
        </w:rPr>
        <w:t>program</w:t>
      </w:r>
      <w:r w:rsidR="006E03F1">
        <w:rPr>
          <w:lang w:val="en-US"/>
        </w:rPr>
        <w:t>me</w:t>
      </w:r>
      <w:r w:rsidR="00770F61" w:rsidRPr="00770F61">
        <w:rPr>
          <w:lang w:val="en-US"/>
        </w:rPr>
        <w:t>s</w:t>
      </w:r>
      <w:proofErr w:type="spellEnd"/>
      <w:r w:rsidR="00770F61" w:rsidRPr="00770F61">
        <w:rPr>
          <w:lang w:val="en-US"/>
        </w:rPr>
        <w:t xml:space="preserve">, from the National Theatre School, to the Banff Centre and the Canadian Film Centre. The federal government’s Canadian Arts Training Fund provides essential funding to many of these. They also receive substantial support from the private sector and other levels of government. </w:t>
      </w:r>
    </w:p>
    <w:p w14:paraId="4D503AEC" w14:textId="77777777" w:rsidR="00D10012" w:rsidRDefault="00D10012" w:rsidP="00516C3E">
      <w:pPr>
        <w:rPr>
          <w:lang w:val="en-US"/>
        </w:rPr>
      </w:pPr>
    </w:p>
    <w:p w14:paraId="5BCAF99A" w14:textId="77777777" w:rsidR="00D10012" w:rsidRPr="006B4614" w:rsidRDefault="00D10012" w:rsidP="00D10012">
      <w:pPr>
        <w:pStyle w:val="Heading3"/>
        <w:rPr>
          <w:lang w:val="en-US"/>
        </w:rPr>
      </w:pPr>
      <w:bookmarkStart w:id="17" w:name="_Toc503362534"/>
      <w:r w:rsidRPr="006B4614">
        <w:rPr>
          <w:lang w:val="en-US"/>
        </w:rPr>
        <w:t>Interviews</w:t>
      </w:r>
      <w:bookmarkEnd w:id="17"/>
    </w:p>
    <w:p w14:paraId="14D67D76" w14:textId="4DD1B91D" w:rsidR="00D10012" w:rsidRDefault="008574C1" w:rsidP="00D10012">
      <w:pPr>
        <w:rPr>
          <w:lang w:val="en-US"/>
        </w:rPr>
      </w:pPr>
      <w:r>
        <w:rPr>
          <w:lang w:val="en-US"/>
        </w:rPr>
        <w:t xml:space="preserve">To </w:t>
      </w:r>
      <w:r w:rsidR="00BC28EC">
        <w:rPr>
          <w:lang w:val="en-US"/>
        </w:rPr>
        <w:t>better engage with Canadian arts policy, t</w:t>
      </w:r>
      <w:r w:rsidR="00D10012">
        <w:rPr>
          <w:lang w:val="en-US"/>
        </w:rPr>
        <w:t>hree arts professionals were intervie</w:t>
      </w:r>
      <w:r w:rsidR="00BC28EC">
        <w:rPr>
          <w:lang w:val="en-US"/>
        </w:rPr>
        <w:t>wed</w:t>
      </w:r>
      <w:r w:rsidR="00E45BA4">
        <w:rPr>
          <w:lang w:val="en-US"/>
        </w:rPr>
        <w:t>, each bringing a different perspective</w:t>
      </w:r>
      <w:r w:rsidR="00D10012">
        <w:rPr>
          <w:lang w:val="en-US"/>
        </w:rPr>
        <w:t xml:space="preserve">. </w:t>
      </w:r>
      <w:r w:rsidR="00BC28EC" w:rsidRPr="00BC28EC">
        <w:rPr>
          <w:lang w:val="en-US"/>
        </w:rPr>
        <w:t xml:space="preserve">Michelle </w:t>
      </w:r>
      <w:proofErr w:type="spellStart"/>
      <w:r w:rsidR="00BC28EC" w:rsidRPr="00BC28EC">
        <w:rPr>
          <w:lang w:val="en-US"/>
        </w:rPr>
        <w:t>Kasprzak</w:t>
      </w:r>
      <w:proofErr w:type="spellEnd"/>
      <w:r w:rsidR="00BC28EC" w:rsidRPr="00BC28EC">
        <w:rPr>
          <w:lang w:val="en-US"/>
        </w:rPr>
        <w:t xml:space="preserve"> is a Canadian curator, writer, and scholar</w:t>
      </w:r>
      <w:r w:rsidR="0033047F">
        <w:rPr>
          <w:lang w:val="en-US"/>
        </w:rPr>
        <w:t xml:space="preserve"> </w:t>
      </w:r>
      <w:r w:rsidR="00E45BA4">
        <w:rPr>
          <w:lang w:val="en-US"/>
        </w:rPr>
        <w:t>currently based in Europe</w:t>
      </w:r>
      <w:r w:rsidR="0033047F">
        <w:rPr>
          <w:lang w:val="en-US"/>
        </w:rPr>
        <w:t xml:space="preserve">. Nigel Prince is the executive director of the Contemporary Art Gallery in Vancouver. </w:t>
      </w:r>
      <w:r w:rsidR="00E45BA4">
        <w:rPr>
          <w:lang w:val="en-US"/>
        </w:rPr>
        <w:t xml:space="preserve">Marie-Michelle </w:t>
      </w:r>
      <w:proofErr w:type="spellStart"/>
      <w:r w:rsidR="00E45BA4">
        <w:rPr>
          <w:lang w:val="en-US"/>
        </w:rPr>
        <w:t>Deschamps</w:t>
      </w:r>
      <w:proofErr w:type="spellEnd"/>
      <w:r w:rsidR="00E45BA4">
        <w:rPr>
          <w:lang w:val="en-US"/>
        </w:rPr>
        <w:t xml:space="preserve"> is a Montreal-based visual artist. Some of the</w:t>
      </w:r>
      <w:r w:rsidR="00D10012">
        <w:rPr>
          <w:lang w:val="en-US"/>
        </w:rPr>
        <w:t xml:space="preserve"> key points that e</w:t>
      </w:r>
      <w:r w:rsidR="00E45BA4">
        <w:rPr>
          <w:lang w:val="en-US"/>
        </w:rPr>
        <w:t>merged from these conversations are outlined below.</w:t>
      </w:r>
    </w:p>
    <w:p w14:paraId="2EE9F0D3" w14:textId="77777777" w:rsidR="00E45BA4" w:rsidRDefault="00E45BA4" w:rsidP="00D10012">
      <w:pPr>
        <w:rPr>
          <w:lang w:val="en-US"/>
        </w:rPr>
      </w:pPr>
    </w:p>
    <w:p w14:paraId="370F7BAB" w14:textId="0C33ED7E" w:rsidR="00FD4B49" w:rsidRDefault="00275061" w:rsidP="009E5E3C">
      <w:pPr>
        <w:pStyle w:val="ListParagraph"/>
        <w:numPr>
          <w:ilvl w:val="0"/>
          <w:numId w:val="10"/>
        </w:numPr>
        <w:rPr>
          <w:lang w:val="en-US"/>
        </w:rPr>
      </w:pPr>
      <w:r>
        <w:rPr>
          <w:lang w:val="en-US"/>
        </w:rPr>
        <w:t xml:space="preserve">The Canadian art scene can feel </w:t>
      </w:r>
      <w:r w:rsidR="00761FED">
        <w:rPr>
          <w:lang w:val="en-US"/>
        </w:rPr>
        <w:t>isolating and isolated due to geographical distances</w:t>
      </w:r>
      <w:r w:rsidR="004B442E">
        <w:rPr>
          <w:lang w:val="en-US"/>
        </w:rPr>
        <w:t xml:space="preserve"> and even links with the neighboring US seem to be limited</w:t>
      </w:r>
      <w:r w:rsidR="00761FED">
        <w:rPr>
          <w:lang w:val="en-US"/>
        </w:rPr>
        <w:t>. Canadian arts professionals find connections to Europe beneficial, such as organized visits to different countries for curators</w:t>
      </w:r>
      <w:r w:rsidR="00D779E8">
        <w:rPr>
          <w:lang w:val="en-US"/>
        </w:rPr>
        <w:t>, which frequently result in collaborative projects</w:t>
      </w:r>
      <w:r w:rsidR="00761FED">
        <w:rPr>
          <w:lang w:val="en-US"/>
        </w:rPr>
        <w:t xml:space="preserve">. </w:t>
      </w:r>
      <w:r w:rsidR="00D779E8">
        <w:rPr>
          <w:lang w:val="en-US"/>
        </w:rPr>
        <w:t xml:space="preserve">In general, </w:t>
      </w:r>
      <w:r w:rsidR="00D779E8">
        <w:rPr>
          <w:u w:val="single"/>
          <w:lang w:val="en-US"/>
        </w:rPr>
        <w:t>c</w:t>
      </w:r>
      <w:r w:rsidR="00761FED" w:rsidRPr="00761FED">
        <w:rPr>
          <w:u w:val="single"/>
          <w:lang w:val="en-US"/>
        </w:rPr>
        <w:t>ultural mobility</w:t>
      </w:r>
      <w:r w:rsidR="00761FED">
        <w:rPr>
          <w:lang w:val="en-US"/>
        </w:rPr>
        <w:t xml:space="preserve"> happens due to networks of peers rather than any large</w:t>
      </w:r>
      <w:r w:rsidR="008268F7">
        <w:rPr>
          <w:lang w:val="en-US"/>
        </w:rPr>
        <w:t>-</w:t>
      </w:r>
      <w:r w:rsidR="00761FED">
        <w:rPr>
          <w:lang w:val="en-US"/>
        </w:rPr>
        <w:t xml:space="preserve">scale policies. </w:t>
      </w:r>
      <w:r w:rsidR="00BB24C0">
        <w:rPr>
          <w:lang w:val="en-US"/>
        </w:rPr>
        <w:t xml:space="preserve">Furthermore, geographical distances can also lead to </w:t>
      </w:r>
      <w:r w:rsidR="00B10644">
        <w:rPr>
          <w:lang w:val="en-US"/>
        </w:rPr>
        <w:t>prohibitive</w:t>
      </w:r>
      <w:r w:rsidR="00BB24C0">
        <w:rPr>
          <w:lang w:val="en-US"/>
        </w:rPr>
        <w:t xml:space="preserve"> costs for travelling exhibitions</w:t>
      </w:r>
      <w:r w:rsidR="00B10644">
        <w:rPr>
          <w:lang w:val="en-US"/>
        </w:rPr>
        <w:t xml:space="preserve">, an issue that funding at federal level has been known to tackle. </w:t>
      </w:r>
    </w:p>
    <w:p w14:paraId="62850BD0" w14:textId="02FF0D61" w:rsidR="00761FED" w:rsidRDefault="00FD4B49" w:rsidP="00761FED">
      <w:pPr>
        <w:pStyle w:val="ListParagraph"/>
        <w:numPr>
          <w:ilvl w:val="0"/>
          <w:numId w:val="10"/>
        </w:numPr>
        <w:rPr>
          <w:lang w:val="en-US"/>
        </w:rPr>
      </w:pPr>
      <w:r>
        <w:rPr>
          <w:lang w:val="en-US"/>
        </w:rPr>
        <w:lastRenderedPageBreak/>
        <w:t xml:space="preserve">The </w:t>
      </w:r>
      <w:r w:rsidRPr="00FD4B49">
        <w:rPr>
          <w:u w:val="single"/>
          <w:lang w:val="en-US"/>
        </w:rPr>
        <w:t>Status of the Artist</w:t>
      </w:r>
      <w:r>
        <w:rPr>
          <w:lang w:val="en-US"/>
        </w:rPr>
        <w:t xml:space="preserve"> legislation does not appear to have any direct effect and is not common knowledge amongst arts professionals. It may however have the indirect effect of promoting a more arts-friendly environment in general.</w:t>
      </w:r>
      <w:r w:rsidR="007B4FF5">
        <w:rPr>
          <w:lang w:val="en-US"/>
        </w:rPr>
        <w:t xml:space="preserve"> The </w:t>
      </w:r>
      <w:r w:rsidR="007B4FF5" w:rsidRPr="00FD4B49">
        <w:rPr>
          <w:u w:val="single"/>
          <w:lang w:val="en-US"/>
        </w:rPr>
        <w:t>CARFAC minimum fee schedule</w:t>
      </w:r>
      <w:r w:rsidR="007B4FF5">
        <w:rPr>
          <w:lang w:val="en-US"/>
        </w:rPr>
        <w:t>, by contrast, is very important and universally applied by publicly funded institutions</w:t>
      </w:r>
      <w:r w:rsidR="00BB24C0">
        <w:rPr>
          <w:lang w:val="en-US"/>
        </w:rPr>
        <w:t>, even though it is not legally enforceable</w:t>
      </w:r>
      <w:r w:rsidR="007B4FF5">
        <w:rPr>
          <w:lang w:val="en-US"/>
        </w:rPr>
        <w:t xml:space="preserve">. </w:t>
      </w:r>
      <w:r w:rsidR="00BB24C0">
        <w:rPr>
          <w:lang w:val="en-US"/>
        </w:rPr>
        <w:t>It helps to supplement i</w:t>
      </w:r>
      <w:r w:rsidR="00BB24C0" w:rsidRPr="00BB24C0">
        <w:rPr>
          <w:lang w:val="en-US"/>
        </w:rPr>
        <w:t>ncome</w:t>
      </w:r>
      <w:r w:rsidR="00BB24C0" w:rsidRPr="00D779E8">
        <w:rPr>
          <w:u w:val="single"/>
          <w:lang w:val="en-US"/>
        </w:rPr>
        <w:t xml:space="preserve"> </w:t>
      </w:r>
      <w:r w:rsidR="00BB24C0">
        <w:rPr>
          <w:lang w:val="en-US"/>
        </w:rPr>
        <w:t xml:space="preserve">from art sales which can be intermittent, as there are too few galleries for the number of artists and the art market is not large.  </w:t>
      </w:r>
    </w:p>
    <w:p w14:paraId="59DB843B" w14:textId="30D0C4C2" w:rsidR="004B442E" w:rsidRDefault="00D779E8" w:rsidP="00761FED">
      <w:pPr>
        <w:pStyle w:val="ListParagraph"/>
        <w:numPr>
          <w:ilvl w:val="0"/>
          <w:numId w:val="10"/>
        </w:numPr>
        <w:rPr>
          <w:lang w:val="en-US"/>
        </w:rPr>
      </w:pPr>
      <w:r w:rsidRPr="00D779E8">
        <w:rPr>
          <w:u w:val="single"/>
          <w:lang w:val="en-US"/>
        </w:rPr>
        <w:t>Welfare provisions</w:t>
      </w:r>
      <w:r>
        <w:rPr>
          <w:lang w:val="en-US"/>
        </w:rPr>
        <w:t xml:space="preserve"> for freelance professionals can vary. Healthcare is mostly free and there is a minimum state pension, however maternity benefits can be very low, requiring support from other sources. </w:t>
      </w:r>
    </w:p>
    <w:p w14:paraId="1FF2E127" w14:textId="34565F38" w:rsidR="008F5067" w:rsidRPr="00761FED" w:rsidRDefault="004B442E" w:rsidP="00761FED">
      <w:pPr>
        <w:pStyle w:val="ListParagraph"/>
        <w:numPr>
          <w:ilvl w:val="0"/>
          <w:numId w:val="10"/>
        </w:numPr>
        <w:rPr>
          <w:lang w:val="en-US"/>
        </w:rPr>
      </w:pPr>
      <w:r w:rsidRPr="00BB24C0">
        <w:rPr>
          <w:u w:val="single"/>
          <w:lang w:val="en-US"/>
        </w:rPr>
        <w:t>Public funding</w:t>
      </w:r>
      <w:r>
        <w:rPr>
          <w:lang w:val="en-US"/>
        </w:rPr>
        <w:t xml:space="preserve"> </w:t>
      </w:r>
      <w:r w:rsidR="00BB24C0">
        <w:rPr>
          <w:lang w:val="en-US"/>
        </w:rPr>
        <w:t xml:space="preserve">in Canada, although offering widespread support, is not always the most accessible solution. For instance, it </w:t>
      </w:r>
      <w:r>
        <w:rPr>
          <w:lang w:val="en-US"/>
        </w:rPr>
        <w:t xml:space="preserve">can be more supportive of mature artists </w:t>
      </w:r>
      <w:r w:rsidR="00D779E8">
        <w:rPr>
          <w:lang w:val="en-US"/>
        </w:rPr>
        <w:t xml:space="preserve">than emerging practitioners. </w:t>
      </w:r>
      <w:r w:rsidR="00BB24C0">
        <w:rPr>
          <w:lang w:val="en-US"/>
        </w:rPr>
        <w:t>In the case of institutions, the amount received can often represent only about a third of the required income, with the rest coming from trusts, foundations, earned revenue, individual giving and corporate sponsorship.</w:t>
      </w:r>
    </w:p>
    <w:p w14:paraId="6EA248CC" w14:textId="23090830" w:rsidR="00BB24C0" w:rsidRDefault="00BB24C0" w:rsidP="00BB24C0">
      <w:pPr>
        <w:pStyle w:val="ListParagraph"/>
        <w:numPr>
          <w:ilvl w:val="0"/>
          <w:numId w:val="10"/>
        </w:numPr>
        <w:rPr>
          <w:lang w:val="en-US"/>
        </w:rPr>
      </w:pPr>
      <w:r w:rsidRPr="00761FED">
        <w:rPr>
          <w:u w:val="single"/>
          <w:lang w:val="en-US"/>
        </w:rPr>
        <w:t>Donors and private funding</w:t>
      </w:r>
      <w:r>
        <w:rPr>
          <w:lang w:val="en-US"/>
        </w:rPr>
        <w:t xml:space="preserve"> </w:t>
      </w:r>
      <w:r w:rsidR="008268F7">
        <w:rPr>
          <w:lang w:val="en-US"/>
        </w:rPr>
        <w:t>are</w:t>
      </w:r>
      <w:r>
        <w:rPr>
          <w:lang w:val="en-US"/>
        </w:rPr>
        <w:t xml:space="preserve"> more accessible in Canada due to tax incentives and legislation that supports these practices. Private giving is encouraged at all levels of society. In Europe, there </w:t>
      </w:r>
      <w:r w:rsidR="009119EC">
        <w:rPr>
          <w:lang w:val="en-US"/>
        </w:rPr>
        <w:t xml:space="preserve">is felt </w:t>
      </w:r>
      <w:r>
        <w:rPr>
          <w:lang w:val="en-US"/>
        </w:rPr>
        <w:t xml:space="preserve">to be a lack of recognition at the higher political levels that such a model needs time and support in order to develop and cannot be a quick fix for funding cuts. </w:t>
      </w:r>
    </w:p>
    <w:p w14:paraId="532534A3" w14:textId="2C8BDD2D" w:rsidR="00B10644" w:rsidRDefault="006319C0" w:rsidP="00210B89">
      <w:pPr>
        <w:pStyle w:val="ListParagraph"/>
        <w:numPr>
          <w:ilvl w:val="0"/>
          <w:numId w:val="10"/>
        </w:numPr>
        <w:rPr>
          <w:lang w:val="en-US"/>
        </w:rPr>
      </w:pPr>
      <w:r>
        <w:rPr>
          <w:lang w:val="en-US"/>
        </w:rPr>
        <w:t xml:space="preserve">The </w:t>
      </w:r>
      <w:r w:rsidRPr="007B4FF5">
        <w:rPr>
          <w:u w:val="single"/>
          <w:lang w:val="en-US"/>
        </w:rPr>
        <w:t>provinces</w:t>
      </w:r>
      <w:r>
        <w:rPr>
          <w:lang w:val="en-US"/>
        </w:rPr>
        <w:t xml:space="preserve"> can pursue </w:t>
      </w:r>
      <w:r w:rsidR="007B4FF5">
        <w:rPr>
          <w:lang w:val="en-US"/>
        </w:rPr>
        <w:t>quite distinct</w:t>
      </w:r>
      <w:r>
        <w:rPr>
          <w:lang w:val="en-US"/>
        </w:rPr>
        <w:t xml:space="preserve"> cultural policies, as the loc</w:t>
      </w:r>
      <w:r w:rsidR="007B4FF5">
        <w:rPr>
          <w:lang w:val="en-US"/>
        </w:rPr>
        <w:t>al authorities hold</w:t>
      </w:r>
      <w:r>
        <w:rPr>
          <w:lang w:val="en-US"/>
        </w:rPr>
        <w:t xml:space="preserve"> a significant amount of decisional power. </w:t>
      </w:r>
      <w:r w:rsidR="007B4FF5">
        <w:rPr>
          <w:lang w:val="en-US"/>
        </w:rPr>
        <w:t xml:space="preserve">They can also be the main funder for artists and </w:t>
      </w:r>
      <w:proofErr w:type="spellStart"/>
      <w:r w:rsidR="007B4FF5">
        <w:rPr>
          <w:lang w:val="en-US"/>
        </w:rPr>
        <w:t>organisations</w:t>
      </w:r>
      <w:proofErr w:type="spellEnd"/>
      <w:r w:rsidR="007B4FF5">
        <w:rPr>
          <w:lang w:val="en-US"/>
        </w:rPr>
        <w:t xml:space="preserve"> in that area, depending on their priorities. For instance, Quebec has been known to have a larger </w:t>
      </w:r>
      <w:r w:rsidR="004B442E">
        <w:rPr>
          <w:lang w:val="en-US"/>
        </w:rPr>
        <w:t xml:space="preserve">cultural </w:t>
      </w:r>
      <w:r w:rsidR="007B4FF5">
        <w:rPr>
          <w:lang w:val="en-US"/>
        </w:rPr>
        <w:t xml:space="preserve">budget than the Canada Arts Council. </w:t>
      </w:r>
      <w:r w:rsidR="004B442E">
        <w:rPr>
          <w:lang w:val="en-US"/>
        </w:rPr>
        <w:t xml:space="preserve">However, provincial policies can also be too inward looking, supporting artists who stay within the region, a model that may be at odds with an increasingly global arts scene. </w:t>
      </w:r>
      <w:r w:rsidR="00D779E8">
        <w:rPr>
          <w:lang w:val="en-US"/>
        </w:rPr>
        <w:t xml:space="preserve">Increasingly new artist-run spaces are opening that operate without public funding, in order to find </w:t>
      </w:r>
      <w:r w:rsidR="009119EC">
        <w:rPr>
          <w:lang w:val="en-US"/>
        </w:rPr>
        <w:t>alternatives</w:t>
      </w:r>
      <w:r w:rsidR="00D779E8">
        <w:rPr>
          <w:lang w:val="en-US"/>
        </w:rPr>
        <w:t xml:space="preserve"> to this model. </w:t>
      </w:r>
    </w:p>
    <w:p w14:paraId="0A686A84" w14:textId="7F00DDB7" w:rsidR="00210B89" w:rsidRPr="00E04A36" w:rsidRDefault="00210B89" w:rsidP="00E04A36">
      <w:pPr>
        <w:pStyle w:val="ListParagraph"/>
        <w:numPr>
          <w:ilvl w:val="0"/>
          <w:numId w:val="10"/>
        </w:numPr>
        <w:rPr>
          <w:lang w:val="en-US"/>
        </w:rPr>
      </w:pPr>
      <w:r w:rsidRPr="00210B89">
        <w:rPr>
          <w:u w:val="single"/>
          <w:lang w:val="en-US"/>
        </w:rPr>
        <w:t>Institutional peer support</w:t>
      </w:r>
      <w:r>
        <w:rPr>
          <w:lang w:val="en-US"/>
        </w:rPr>
        <w:t xml:space="preserve"> can be quite strong, with institutions at local level collaborating. For instance, Contemporary Art Canada recently teamed with two other Vancouver galleries to put in an application for Canada Arts council’s new digital strategy fund. </w:t>
      </w:r>
      <w:r w:rsidR="00E04A36">
        <w:rPr>
          <w:lang w:val="en-US"/>
        </w:rPr>
        <w:t xml:space="preserve">CAMDO, the </w:t>
      </w:r>
      <w:r w:rsidR="00E04A36" w:rsidRPr="00E04A36">
        <w:rPr>
          <w:bCs/>
          <w:lang w:val="en-US"/>
        </w:rPr>
        <w:t>Canadian</w:t>
      </w:r>
      <w:r w:rsidR="00E04A36" w:rsidRPr="00E04A36">
        <w:rPr>
          <w:lang w:val="en-US"/>
        </w:rPr>
        <w:t> Art </w:t>
      </w:r>
      <w:r w:rsidR="00E04A36" w:rsidRPr="00E04A36">
        <w:rPr>
          <w:bCs/>
          <w:lang w:val="en-US"/>
        </w:rPr>
        <w:t>Museums</w:t>
      </w:r>
      <w:r w:rsidR="00E04A36" w:rsidRPr="00E04A36">
        <w:rPr>
          <w:lang w:val="en-US"/>
        </w:rPr>
        <w:t> Directors' Organization</w:t>
      </w:r>
      <w:r w:rsidR="00E04A36">
        <w:rPr>
          <w:lang w:val="en-US"/>
        </w:rPr>
        <w:t>, organizes twice-yearly themed meetings that allow museum professionals to share best practices and find solutions to sector-wide issues.</w:t>
      </w:r>
    </w:p>
    <w:p w14:paraId="19F15EB5" w14:textId="5E7F4EE2" w:rsidR="00D10012" w:rsidRDefault="00761FED" w:rsidP="004F1631">
      <w:pPr>
        <w:pStyle w:val="ListParagraph"/>
        <w:numPr>
          <w:ilvl w:val="0"/>
          <w:numId w:val="10"/>
        </w:numPr>
        <w:rPr>
          <w:lang w:val="en-US"/>
        </w:rPr>
      </w:pPr>
      <w:r w:rsidRPr="00761FED">
        <w:rPr>
          <w:lang w:val="en-US"/>
        </w:rPr>
        <w:t xml:space="preserve">Canada </w:t>
      </w:r>
      <w:r>
        <w:rPr>
          <w:lang w:val="en-US"/>
        </w:rPr>
        <w:t xml:space="preserve">is increasingly making efforts to acknowledge the country’s problematic heritage and to improve </w:t>
      </w:r>
      <w:r w:rsidRPr="008F5067">
        <w:rPr>
          <w:u w:val="single"/>
          <w:lang w:val="en-US"/>
        </w:rPr>
        <w:t>equality and diversity</w:t>
      </w:r>
      <w:r w:rsidR="00B10644">
        <w:rPr>
          <w:u w:val="single"/>
          <w:lang w:val="en-US"/>
        </w:rPr>
        <w:t>,</w:t>
      </w:r>
      <w:r w:rsidR="00B10644" w:rsidRPr="00210B89">
        <w:rPr>
          <w:lang w:val="en-US"/>
        </w:rPr>
        <w:t xml:space="preserve"> particularly </w:t>
      </w:r>
      <w:r w:rsidR="00210B89" w:rsidRPr="00210B89">
        <w:rPr>
          <w:lang w:val="en-US"/>
        </w:rPr>
        <w:t>as 2017 mar</w:t>
      </w:r>
      <w:r w:rsidR="00E37D0B">
        <w:rPr>
          <w:lang w:val="en-US"/>
        </w:rPr>
        <w:t>k</w:t>
      </w:r>
      <w:r w:rsidR="00210B89" w:rsidRPr="00210B89">
        <w:rPr>
          <w:lang w:val="en-US"/>
        </w:rPr>
        <w:t xml:space="preserve">ed the sesquicentennial of Canadian Confederation. </w:t>
      </w:r>
      <w:r w:rsidRPr="00210B89">
        <w:rPr>
          <w:lang w:val="en-US"/>
        </w:rPr>
        <w:t xml:space="preserve">Some art schools advertise positions specifically for indigenous applicants and, thanks to a growing grass roots initiative, many cultural events open with an acknowledgement of the </w:t>
      </w:r>
      <w:r w:rsidR="008F5067" w:rsidRPr="00210B89">
        <w:rPr>
          <w:lang w:val="en-US"/>
        </w:rPr>
        <w:t xml:space="preserve">indigenous territory on which they are taking place. </w:t>
      </w:r>
    </w:p>
    <w:p w14:paraId="38F90A84" w14:textId="77777777" w:rsidR="00B06517" w:rsidRDefault="00B06517">
      <w:pPr>
        <w:spacing w:line="240" w:lineRule="auto"/>
        <w:rPr>
          <w:b/>
          <w:lang w:val="en-US"/>
        </w:rPr>
      </w:pPr>
      <w:r>
        <w:rPr>
          <w:lang w:val="en-US"/>
        </w:rPr>
        <w:br w:type="page"/>
      </w:r>
    </w:p>
    <w:p w14:paraId="243732B5" w14:textId="0B2F8474" w:rsidR="00D10012" w:rsidRDefault="00D10012" w:rsidP="00D10012">
      <w:pPr>
        <w:pStyle w:val="Heading1"/>
        <w:rPr>
          <w:lang w:val="en-US"/>
        </w:rPr>
      </w:pPr>
      <w:bookmarkStart w:id="18" w:name="_Toc503362535"/>
      <w:r>
        <w:rPr>
          <w:lang w:val="en-US"/>
        </w:rPr>
        <w:lastRenderedPageBreak/>
        <w:t>CONCLUSION</w:t>
      </w:r>
      <w:bookmarkEnd w:id="18"/>
    </w:p>
    <w:p w14:paraId="20D61972" w14:textId="06B9FB74" w:rsidR="008268F7" w:rsidRDefault="008268F7" w:rsidP="008268F7">
      <w:r>
        <w:t>The report has outlined a variety of cultural policies and initiatives that support the visual arts sector in Europe and North America. Although this is far from an exhaustive study, it can hopefully constitute a tool for considering the challenges that the sector is facing locally, regionally and globally. While some useful policies are being phased out, such as guaranteed income, others are opening up new possibilities, for example the increasingly diverse percentage for art schemes. The interviews conducted also indicate that the wider cultural landscape is perpetually shifting and that those involved in the visual arts sector experience often very similar challenges and opportunities, in equal measure, no matter their geographical location.</w:t>
      </w:r>
      <w:r w:rsidR="00DF6B8C">
        <w:t xml:space="preserve"> Likewise, it is important to remember that new ideas or transferrable practices may well be found outside the sector, such as the </w:t>
      </w:r>
      <w:r w:rsidR="00B52094">
        <w:t xml:space="preserve">highly successful devolved funding model </w:t>
      </w:r>
      <w:r w:rsidR="00045372">
        <w:t>developed by the African Women’s Development Fund in collaboration with Comic Relief in 2011-2015, suggested by one of the interviewees.</w:t>
      </w:r>
    </w:p>
    <w:p w14:paraId="509AF112" w14:textId="77777777" w:rsidR="008268F7" w:rsidRDefault="008268F7" w:rsidP="008268F7">
      <w:r>
        <w:t xml:space="preserve"> </w:t>
      </w:r>
    </w:p>
    <w:p w14:paraId="631F2464" w14:textId="4BC9CA3F" w:rsidR="008268F7" w:rsidRPr="00CA3B36" w:rsidRDefault="008268F7" w:rsidP="008268F7">
      <w:r>
        <w:t xml:space="preserve">Positive feedback </w:t>
      </w:r>
      <w:r w:rsidRPr="009E1383">
        <w:t xml:space="preserve">emerged from the project regarding Scotland and the contemporary visual arts. Some of the interviewees who participated in the research had studied </w:t>
      </w:r>
      <w:r w:rsidR="00C80D37">
        <w:t xml:space="preserve">or </w:t>
      </w:r>
      <w:r w:rsidRPr="009E1383">
        <w:t>worked in Scotland and spoke very positively about how their experiences compa</w:t>
      </w:r>
      <w:r w:rsidRPr="00B11D79">
        <w:t>red to their current locations. They particularly appreciated the high standard of arts education and support for early career arts professionals, mentioning the availa</w:t>
      </w:r>
      <w:r w:rsidR="00C80D37">
        <w:t xml:space="preserve">bility of studio spaces and a perceived </w:t>
      </w:r>
      <w:r w:rsidRPr="00B11D79">
        <w:t>higher grant application success rate. The vibrancy and diversity of artist-</w:t>
      </w:r>
      <w:r w:rsidR="000F42C3">
        <w:t>led</w:t>
      </w:r>
      <w:r w:rsidRPr="00B11D79">
        <w:t xml:space="preserve"> spaces was also mentioned, as well as the opportunities for networking and cultural mobility, with interviewees remarking that the professional connections made in Scotland led to other projects further afield. In general, the UK wa</w:t>
      </w:r>
      <w:r w:rsidRPr="00CA3B36">
        <w:t xml:space="preserve">s perceived as being ahead in arts outreach programming, as well as equalities, diversity and inclusion practices. </w:t>
      </w:r>
    </w:p>
    <w:p w14:paraId="3CC3FCE6" w14:textId="77777777" w:rsidR="008268F7" w:rsidRPr="00E07036" w:rsidRDefault="008268F7" w:rsidP="008268F7"/>
    <w:p w14:paraId="45C9E4F6" w14:textId="2B09B6D5" w:rsidR="008268F7" w:rsidRPr="00C7632D" w:rsidRDefault="008268F7" w:rsidP="008268F7">
      <w:pPr>
        <w:rPr>
          <w:lang w:val="en-US"/>
        </w:rPr>
      </w:pPr>
      <w:r w:rsidRPr="00E07036">
        <w:rPr>
          <w:lang w:val="en-US"/>
        </w:rPr>
        <w:t>Ultimately, as well as highlighting effective policies and initiative</w:t>
      </w:r>
      <w:r w:rsidR="003251E8">
        <w:rPr>
          <w:lang w:val="en-US"/>
        </w:rPr>
        <w:t>s, this</w:t>
      </w:r>
      <w:r w:rsidRPr="00E07036">
        <w:rPr>
          <w:lang w:val="en-US"/>
        </w:rPr>
        <w:t xml:space="preserve"> research </w:t>
      </w:r>
      <w:r w:rsidR="003251E8">
        <w:rPr>
          <w:lang w:val="en-US"/>
        </w:rPr>
        <w:t xml:space="preserve">project </w:t>
      </w:r>
      <w:r w:rsidRPr="00E07036">
        <w:rPr>
          <w:lang w:val="en-US"/>
        </w:rPr>
        <w:t xml:space="preserve">has revealed that even countries seen to champion the visual arts have their challenges and no perfect solutions for the sector </w:t>
      </w:r>
      <w:r w:rsidR="00C80D37">
        <w:rPr>
          <w:lang w:val="en-US"/>
        </w:rPr>
        <w:t>currently</w:t>
      </w:r>
      <w:r w:rsidRPr="00E07036">
        <w:rPr>
          <w:lang w:val="en-US"/>
        </w:rPr>
        <w:t xml:space="preserve"> exist</w:t>
      </w:r>
      <w:r w:rsidR="00C80D37">
        <w:rPr>
          <w:lang w:val="en-US"/>
        </w:rPr>
        <w:t>s</w:t>
      </w:r>
      <w:r w:rsidRPr="00E07036">
        <w:rPr>
          <w:lang w:val="en-US"/>
        </w:rPr>
        <w:t xml:space="preserve">. </w:t>
      </w:r>
      <w:r>
        <w:rPr>
          <w:lang w:val="en-US"/>
        </w:rPr>
        <w:t xml:space="preserve">There is much to </w:t>
      </w:r>
      <w:r w:rsidRPr="00B11D79">
        <w:rPr>
          <w:lang w:val="en-US"/>
        </w:rPr>
        <w:t>learn from other models, but without forgetting to celebrate the achievements of Scotland’s own contemporary visual arts sector</w:t>
      </w:r>
      <w:r w:rsidR="003251E8">
        <w:rPr>
          <w:lang w:val="en-US"/>
        </w:rPr>
        <w:t>.</w:t>
      </w:r>
    </w:p>
    <w:p w14:paraId="6044C4EA" w14:textId="77777777" w:rsidR="00D10012" w:rsidRDefault="00D10012" w:rsidP="00D10012">
      <w:pPr>
        <w:rPr>
          <w:lang w:val="en-US"/>
        </w:rPr>
      </w:pPr>
    </w:p>
    <w:p w14:paraId="72A2A075" w14:textId="713C6541" w:rsidR="00B06517" w:rsidRDefault="00B06517">
      <w:pPr>
        <w:spacing w:line="240" w:lineRule="auto"/>
        <w:rPr>
          <w:lang w:val="en-US"/>
        </w:rPr>
      </w:pPr>
      <w:r>
        <w:rPr>
          <w:lang w:val="en-US"/>
        </w:rPr>
        <w:br w:type="page"/>
      </w:r>
    </w:p>
    <w:p w14:paraId="5F33C4B3" w14:textId="4DEC1792" w:rsidR="002A4DC4" w:rsidRDefault="00B06517" w:rsidP="00C05F11">
      <w:pPr>
        <w:pStyle w:val="Heading1"/>
        <w:rPr>
          <w:lang w:val="en-US"/>
        </w:rPr>
      </w:pPr>
      <w:bookmarkStart w:id="19" w:name="_Toc503362536"/>
      <w:r>
        <w:rPr>
          <w:lang w:val="en-US"/>
        </w:rPr>
        <w:lastRenderedPageBreak/>
        <w:t>SELECTED BIBLIOGRAPHY</w:t>
      </w:r>
      <w:bookmarkEnd w:id="19"/>
    </w:p>
    <w:p w14:paraId="137092E2" w14:textId="77777777" w:rsidR="002A4DC4" w:rsidRDefault="002A4DC4" w:rsidP="002A4DC4">
      <w:pPr>
        <w:rPr>
          <w:lang w:val="en-US"/>
        </w:rPr>
      </w:pPr>
    </w:p>
    <w:p w14:paraId="342DE943" w14:textId="4A678F5B" w:rsidR="002A4DC4" w:rsidRDefault="0010513F" w:rsidP="00C05F11">
      <w:pPr>
        <w:pStyle w:val="Heading2"/>
      </w:pPr>
      <w:bookmarkStart w:id="20" w:name="_Toc503362537"/>
      <w:r>
        <w:t>Principal Sources</w:t>
      </w:r>
      <w:bookmarkEnd w:id="20"/>
    </w:p>
    <w:p w14:paraId="3A2BBCF0" w14:textId="42D4398B" w:rsidR="00B06517" w:rsidRPr="00C17DBE" w:rsidRDefault="00C17DBE" w:rsidP="00C05F11">
      <w:pPr>
        <w:numPr>
          <w:ilvl w:val="0"/>
          <w:numId w:val="17"/>
        </w:numPr>
      </w:pPr>
      <w:r w:rsidRPr="00C17DBE">
        <w:t xml:space="preserve">Compendium of Cultural Policies and Trends in Europe, </w:t>
      </w:r>
      <w:r w:rsidRPr="002630C0">
        <w:rPr>
          <w:lang w:val="en-US"/>
        </w:rPr>
        <w:t>http://www.culturalpolicies.net/web/index.php</w:t>
      </w:r>
    </w:p>
    <w:p w14:paraId="43A97C4F" w14:textId="69B8859A" w:rsidR="00C17DBE" w:rsidRPr="00C17DBE" w:rsidRDefault="00C17DBE" w:rsidP="00C05F11">
      <w:pPr>
        <w:numPr>
          <w:ilvl w:val="0"/>
          <w:numId w:val="17"/>
        </w:numPr>
      </w:pPr>
      <w:r w:rsidRPr="00C17DBE">
        <w:t xml:space="preserve">International Database of Cultural Policies, </w:t>
      </w:r>
      <w:r w:rsidRPr="00C05F11">
        <w:t>http://www.worldcp.org</w:t>
      </w:r>
    </w:p>
    <w:p w14:paraId="6AE46C10" w14:textId="77777777" w:rsidR="00C17DBE" w:rsidRDefault="00C17DBE" w:rsidP="00C17DBE">
      <w:pPr>
        <w:rPr>
          <w:lang w:val="en-US"/>
        </w:rPr>
      </w:pPr>
    </w:p>
    <w:p w14:paraId="6704F221" w14:textId="72A42489" w:rsidR="00C17DBE" w:rsidRDefault="00C17DBE" w:rsidP="00C05F11">
      <w:pPr>
        <w:pStyle w:val="Heading2"/>
      </w:pPr>
      <w:bookmarkStart w:id="21" w:name="_Toc503362538"/>
      <w:r>
        <w:t>UK Sources</w:t>
      </w:r>
      <w:bookmarkEnd w:id="21"/>
    </w:p>
    <w:p w14:paraId="4B15DA5C" w14:textId="77777777" w:rsidR="005C3B1D" w:rsidRDefault="005C3B1D" w:rsidP="00C05F11">
      <w:pPr>
        <w:pStyle w:val="ListParaBiblio"/>
      </w:pPr>
      <w:r>
        <w:t xml:space="preserve">a-n, </w:t>
      </w:r>
      <w:r w:rsidRPr="00F91DFA">
        <w:t>http</w:t>
      </w:r>
      <w:r>
        <w:t>s</w:t>
      </w:r>
      <w:r w:rsidRPr="00F91DFA">
        <w:t>://</w:t>
      </w:r>
      <w:r>
        <w:t>www.a-n</w:t>
      </w:r>
      <w:r w:rsidRPr="00C17DBE">
        <w:t>.co.uk</w:t>
      </w:r>
    </w:p>
    <w:p w14:paraId="2066CC6C" w14:textId="26E91ED8" w:rsidR="005C3B1D" w:rsidRDefault="005C3B1D" w:rsidP="00C05F11">
      <w:pPr>
        <w:pStyle w:val="ListParaBiblio"/>
      </w:pPr>
      <w:r>
        <w:t xml:space="preserve">Aberdeenshire Council, </w:t>
      </w:r>
      <w:r w:rsidRPr="002630C0">
        <w:t>https://www.aberdeenshire.gov.uk/environment/built-heritage/public-art/</w:t>
      </w:r>
    </w:p>
    <w:p w14:paraId="22BD0C46" w14:textId="77777777" w:rsidR="005C3B1D" w:rsidRDefault="005C3B1D" w:rsidP="00C05F11">
      <w:pPr>
        <w:pStyle w:val="ListParaBiblio"/>
      </w:pPr>
      <w:r>
        <w:t xml:space="preserve">Art UK, </w:t>
      </w:r>
      <w:r w:rsidRPr="00C17DBE">
        <w:t>https://artuk.org</w:t>
      </w:r>
    </w:p>
    <w:p w14:paraId="498CA661" w14:textId="77777777" w:rsidR="005C3B1D" w:rsidRDefault="005C3B1D" w:rsidP="00C05F11">
      <w:pPr>
        <w:pStyle w:val="ListParaBiblio"/>
      </w:pPr>
      <w:proofErr w:type="spellStart"/>
      <w:r>
        <w:t>Artquest</w:t>
      </w:r>
      <w:proofErr w:type="spellEnd"/>
      <w:r>
        <w:t xml:space="preserve">, </w:t>
      </w:r>
      <w:r w:rsidRPr="00C17DBE">
        <w:t>https://www.artquest.org.uk</w:t>
      </w:r>
    </w:p>
    <w:p w14:paraId="33D7C5FC" w14:textId="77777777" w:rsidR="005C3B1D" w:rsidRDefault="005C3B1D" w:rsidP="00C05F11">
      <w:pPr>
        <w:pStyle w:val="ListParaBiblio"/>
      </w:pPr>
      <w:r>
        <w:t xml:space="preserve">Arts &amp; Business Scotland, </w:t>
      </w:r>
      <w:r w:rsidRPr="00C17DBE">
        <w:t>http://www.aandbscotland.org.uk</w:t>
      </w:r>
    </w:p>
    <w:p w14:paraId="77D319DA" w14:textId="62623556" w:rsidR="005C3B1D" w:rsidRDefault="005C3B1D" w:rsidP="00C05F11">
      <w:pPr>
        <w:pStyle w:val="ListParaBiblio"/>
      </w:pPr>
      <w:r>
        <w:t xml:space="preserve">Arts &amp; Business, </w:t>
      </w:r>
      <w:r w:rsidRPr="002630C0">
        <w:t>https://artsandbusiness.bitc.org.uk</w:t>
      </w:r>
    </w:p>
    <w:p w14:paraId="7893C112" w14:textId="77777777" w:rsidR="005C3B1D" w:rsidRDefault="005C3B1D" w:rsidP="00C05F11">
      <w:pPr>
        <w:pStyle w:val="ListParaBiblio"/>
      </w:pPr>
      <w:r>
        <w:t xml:space="preserve">Arts Council England, </w:t>
      </w:r>
      <w:r w:rsidRPr="00C17DBE">
        <w:t>http://</w:t>
      </w:r>
      <w:r>
        <w:t>www.artscouncil.org.uk</w:t>
      </w:r>
    </w:p>
    <w:p w14:paraId="5762B990" w14:textId="77777777" w:rsidR="005C3B1D" w:rsidRDefault="005C3B1D" w:rsidP="00C05F11">
      <w:pPr>
        <w:pStyle w:val="ListParaBiblio"/>
      </w:pPr>
      <w:r>
        <w:t xml:space="preserve">Arts Funding: Statistics 2016, </w:t>
      </w:r>
      <w:r w:rsidRPr="003148A4">
        <w:t>researchbriefings.files.parliament.uk/documents/CBP-7655/CBP-7655.pdf</w:t>
      </w:r>
    </w:p>
    <w:p w14:paraId="0175A40E" w14:textId="77777777" w:rsidR="005C3B1D" w:rsidRDefault="005C3B1D" w:rsidP="00C05F11">
      <w:pPr>
        <w:pStyle w:val="ListParaBiblio"/>
      </w:pPr>
      <w:r>
        <w:t xml:space="preserve">British Council, </w:t>
      </w:r>
      <w:r w:rsidRPr="00C17DBE">
        <w:t>https://www.britishcouncil.org/arts</w:t>
      </w:r>
    </w:p>
    <w:p w14:paraId="1AEA0B70" w14:textId="38BC9567" w:rsidR="0090606D" w:rsidRPr="00F47069" w:rsidRDefault="0090606D" w:rsidP="0090606D">
      <w:pPr>
        <w:pStyle w:val="ListParaBiblio"/>
      </w:pPr>
      <w:r w:rsidRPr="00F47069">
        <w:t>C</w:t>
      </w:r>
      <w:r>
        <w:t xml:space="preserve">ontemporary Visual Arts Network, </w:t>
      </w:r>
      <w:r w:rsidRPr="00F47069">
        <w:t>http://w</w:t>
      </w:r>
      <w:r>
        <w:t>ww.cvan.org.uk/advocacy-policy/</w:t>
      </w:r>
    </w:p>
    <w:p w14:paraId="19235F4A" w14:textId="77777777" w:rsidR="005C3B1D" w:rsidRDefault="005C3B1D" w:rsidP="00C05F11">
      <w:pPr>
        <w:pStyle w:val="ListParaBiblio"/>
      </w:pPr>
      <w:r w:rsidRPr="00C17DBE">
        <w:t>Creative Partnerships</w:t>
      </w:r>
      <w:r>
        <w:t xml:space="preserve">, </w:t>
      </w:r>
      <w:r w:rsidRPr="00C17DBE">
        <w:t>http://www.creativitycultureeducation.org/creative-partnerships</w:t>
      </w:r>
    </w:p>
    <w:p w14:paraId="7D0B682E" w14:textId="77777777" w:rsidR="005C3B1D" w:rsidRDefault="005C3B1D" w:rsidP="00C05F11">
      <w:pPr>
        <w:pStyle w:val="ListParaBiblio"/>
      </w:pPr>
      <w:r>
        <w:t xml:space="preserve">Creative Scotland, </w:t>
      </w:r>
      <w:r w:rsidRPr="00607811">
        <w:t>http://www.creativescotland.com</w:t>
      </w:r>
    </w:p>
    <w:p w14:paraId="39A8B14C" w14:textId="77777777" w:rsidR="005C3B1D" w:rsidRDefault="005C3B1D" w:rsidP="00C05F11">
      <w:pPr>
        <w:pStyle w:val="ListParaBiblio"/>
      </w:pPr>
      <w:r>
        <w:t xml:space="preserve">DACS, </w:t>
      </w:r>
      <w:r w:rsidRPr="00607811">
        <w:t>https://www.dacs.org.uk</w:t>
      </w:r>
    </w:p>
    <w:p w14:paraId="17A68728" w14:textId="77777777" w:rsidR="005C3B1D" w:rsidRDefault="005C3B1D" w:rsidP="00C05F11">
      <w:pPr>
        <w:pStyle w:val="ListParaBiblio"/>
      </w:pPr>
      <w:r>
        <w:t xml:space="preserve">East Lothian Council, </w:t>
      </w:r>
      <w:r w:rsidRPr="00607811">
        <w:t>http://www.eastlothian.gov.uk/info/290/arts_and_entertainment/895/east_lothian_arts_service/4</w:t>
      </w:r>
    </w:p>
    <w:p w14:paraId="6A9BB523" w14:textId="77777777" w:rsidR="005C3B1D" w:rsidRDefault="005C3B1D" w:rsidP="00C05F11">
      <w:pPr>
        <w:pStyle w:val="ListParaBiblio"/>
      </w:pPr>
      <w:r>
        <w:t xml:space="preserve">Scottish Artists Union, </w:t>
      </w:r>
      <w:r w:rsidRPr="00607811">
        <w:t>http://www.sau.org.uk/home/index.php</w:t>
      </w:r>
    </w:p>
    <w:p w14:paraId="7280F4FA" w14:textId="3C53353B" w:rsidR="005C3B1D" w:rsidRDefault="005C3B1D" w:rsidP="00C05F11">
      <w:pPr>
        <w:pStyle w:val="ListParaBiblio"/>
      </w:pPr>
      <w:r>
        <w:t xml:space="preserve">Sited+, </w:t>
      </w:r>
      <w:r w:rsidRPr="002630C0">
        <w:t>http://sited.info</w:t>
      </w:r>
    </w:p>
    <w:p w14:paraId="5842FEEC" w14:textId="77777777" w:rsidR="005C3B1D" w:rsidRDefault="005C3B1D" w:rsidP="00C05F11">
      <w:pPr>
        <w:pStyle w:val="ListParaBiblio"/>
      </w:pPr>
      <w:r>
        <w:t xml:space="preserve">Visiting Arts, </w:t>
      </w:r>
      <w:r w:rsidRPr="00607811">
        <w:t>http://www.visitingarts.org.uk/home/</w:t>
      </w:r>
    </w:p>
    <w:p w14:paraId="40255113" w14:textId="77777777" w:rsidR="00C17DBE" w:rsidRDefault="00C17DBE" w:rsidP="00B06517">
      <w:pPr>
        <w:rPr>
          <w:lang w:val="en-US"/>
        </w:rPr>
      </w:pPr>
    </w:p>
    <w:p w14:paraId="1E1A856C" w14:textId="6FE293AE" w:rsidR="00C17DBE" w:rsidRDefault="00C17DBE" w:rsidP="00C05F11">
      <w:pPr>
        <w:pStyle w:val="Heading2"/>
      </w:pPr>
      <w:bookmarkStart w:id="22" w:name="_Toc503362539"/>
      <w:r>
        <w:t>International Sources</w:t>
      </w:r>
      <w:bookmarkEnd w:id="22"/>
    </w:p>
    <w:p w14:paraId="76CFD9DC" w14:textId="57926582" w:rsidR="001E5A4E" w:rsidRPr="002630C0" w:rsidRDefault="001E5A4E" w:rsidP="002630C0">
      <w:pPr>
        <w:ind w:firstLine="714"/>
        <w:rPr>
          <w:u w:val="single"/>
        </w:rPr>
      </w:pPr>
      <w:r w:rsidRPr="002630C0">
        <w:rPr>
          <w:u w:val="single"/>
        </w:rPr>
        <w:t>General</w:t>
      </w:r>
    </w:p>
    <w:p w14:paraId="0FA517DD" w14:textId="1A561922" w:rsidR="00DF6B8C" w:rsidRDefault="00DF6B8C" w:rsidP="002630C0">
      <w:pPr>
        <w:pStyle w:val="ListParaBiblio"/>
      </w:pPr>
      <w:r w:rsidRPr="00DF6B8C">
        <w:t>A</w:t>
      </w:r>
      <w:r>
        <w:t xml:space="preserve">frican Women’s Development Fund, </w:t>
      </w:r>
      <w:r w:rsidRPr="00DF6B8C">
        <w:t xml:space="preserve">Grant-Making </w:t>
      </w:r>
      <w:proofErr w:type="gramStart"/>
      <w:r w:rsidRPr="00DF6B8C">
        <w:t>For</w:t>
      </w:r>
      <w:proofErr w:type="gramEnd"/>
      <w:r w:rsidRPr="00DF6B8C">
        <w:t xml:space="preserve"> Women’s Rights</w:t>
      </w:r>
      <w:r>
        <w:t xml:space="preserve">, 2015, </w:t>
      </w:r>
      <w:r w:rsidRPr="00DF6B8C">
        <w:t>http://awdf.org/wp-content/uploads/AWDF-Abridged-evaluation-report-Final.pdf</w:t>
      </w:r>
    </w:p>
    <w:p w14:paraId="4A73D776" w14:textId="77777777" w:rsidR="001E5A4E" w:rsidRPr="001E5A4E" w:rsidRDefault="001E5A4E" w:rsidP="002630C0">
      <w:pPr>
        <w:pStyle w:val="ListParaBiblio"/>
      </w:pPr>
      <w:r w:rsidRPr="002630C0">
        <w:t xml:space="preserve">Crowd Funding for Culture, https://www.crowdfunding4culture.eu/homepage </w:t>
      </w:r>
    </w:p>
    <w:p w14:paraId="591DB876" w14:textId="77777777" w:rsidR="001E5A4E" w:rsidRPr="001E5A4E" w:rsidRDefault="001E5A4E" w:rsidP="002630C0">
      <w:pPr>
        <w:pStyle w:val="ListParaBiblio"/>
      </w:pPr>
      <w:r w:rsidRPr="002630C0">
        <w:t>European Artists’ Rights, http://earights.org/epr-project-outline/</w:t>
      </w:r>
    </w:p>
    <w:p w14:paraId="643A649A" w14:textId="77777777" w:rsidR="001E5A4E" w:rsidRPr="002630C0" w:rsidRDefault="001E5A4E" w:rsidP="002630C0">
      <w:pPr>
        <w:pStyle w:val="ListParaBiblio"/>
      </w:pPr>
      <w:r w:rsidRPr="002630C0">
        <w:t>On the Move, http://on-the-move.org</w:t>
      </w:r>
    </w:p>
    <w:p w14:paraId="2F324AB4" w14:textId="77777777" w:rsidR="001E5A4E" w:rsidRPr="001E5A4E" w:rsidRDefault="001E5A4E" w:rsidP="002630C0">
      <w:pPr>
        <w:pStyle w:val="ListParaBiblio"/>
      </w:pPr>
      <w:r w:rsidRPr="002630C0">
        <w:t>Percent for Art Schemes Report, http://www.publicartonline.org.uk/resources/reports/percentforart/expert_meeting_index.php.html</w:t>
      </w:r>
    </w:p>
    <w:p w14:paraId="37689E4D" w14:textId="3158FF6F" w:rsidR="001E5A4E" w:rsidRPr="001E5A4E" w:rsidRDefault="001E5A4E" w:rsidP="002630C0">
      <w:pPr>
        <w:pStyle w:val="ListParaBiblio"/>
      </w:pPr>
      <w:proofErr w:type="spellStart"/>
      <w:r w:rsidRPr="002630C0">
        <w:t>S</w:t>
      </w:r>
      <w:r w:rsidRPr="001E5A4E">
        <w:t>M</w:t>
      </w:r>
      <w:r w:rsidRPr="002630C0">
        <w:t>art</w:t>
      </w:r>
      <w:proofErr w:type="spellEnd"/>
      <w:r w:rsidRPr="002630C0">
        <w:t>, http://smart-eu.org/</w:t>
      </w:r>
    </w:p>
    <w:p w14:paraId="740EFC19" w14:textId="77777777" w:rsidR="00DF6B8C" w:rsidRDefault="00DF6B8C" w:rsidP="002630C0">
      <w:pPr>
        <w:ind w:left="357" w:firstLine="357"/>
        <w:rPr>
          <w:u w:val="single"/>
        </w:rPr>
      </w:pPr>
    </w:p>
    <w:p w14:paraId="437162A8" w14:textId="2D03F86F" w:rsidR="00C17DBE" w:rsidRPr="002630C0" w:rsidRDefault="00C17DBE" w:rsidP="002630C0">
      <w:pPr>
        <w:ind w:left="357" w:firstLine="357"/>
        <w:rPr>
          <w:u w:val="single"/>
        </w:rPr>
      </w:pPr>
      <w:r w:rsidRPr="002630C0">
        <w:rPr>
          <w:u w:val="single"/>
        </w:rPr>
        <w:lastRenderedPageBreak/>
        <w:t>Australia</w:t>
      </w:r>
    </w:p>
    <w:p w14:paraId="26B8B897" w14:textId="77777777" w:rsidR="000E1532" w:rsidRPr="000E1532" w:rsidRDefault="000E1532" w:rsidP="002630C0">
      <w:pPr>
        <w:pStyle w:val="ListParaBiblio"/>
      </w:pPr>
      <w:proofErr w:type="spellStart"/>
      <w:r w:rsidRPr="00C05F11">
        <w:t>AsiaLink</w:t>
      </w:r>
      <w:proofErr w:type="spellEnd"/>
      <w:r w:rsidRPr="00C05F11">
        <w:t xml:space="preserve"> Arts, http://asialink.unimelb.edu.au/arts</w:t>
      </w:r>
    </w:p>
    <w:p w14:paraId="178E4D4D" w14:textId="77777777" w:rsidR="000E1532" w:rsidRPr="000E1532" w:rsidRDefault="000E1532" w:rsidP="002630C0">
      <w:pPr>
        <w:pStyle w:val="ListParaBiblio"/>
      </w:pPr>
      <w:r w:rsidRPr="000E1532">
        <w:t>Australia Council for the Arts, http://www.australiacouncil.gov.au</w:t>
      </w:r>
    </w:p>
    <w:p w14:paraId="493851A6" w14:textId="0A4CFBB2" w:rsidR="000E1532" w:rsidRPr="000E1532" w:rsidRDefault="000E1532" w:rsidP="002630C0">
      <w:pPr>
        <w:pStyle w:val="ListParaBiblio"/>
      </w:pPr>
      <w:r w:rsidRPr="000E1532">
        <w:t xml:space="preserve">BEMAC, </w:t>
      </w:r>
      <w:r w:rsidRPr="002630C0">
        <w:t>http://bemac.org.au</w:t>
      </w:r>
    </w:p>
    <w:p w14:paraId="20CEDD74" w14:textId="77777777" w:rsidR="000E1532" w:rsidRPr="000E1532" w:rsidRDefault="000E1532" w:rsidP="002630C0">
      <w:pPr>
        <w:pStyle w:val="ListParaBiblio"/>
      </w:pPr>
      <w:r w:rsidRPr="00C05F11">
        <w:t>Multicultural Arts Victoria, http://multiculturalarts.com.au</w:t>
      </w:r>
    </w:p>
    <w:p w14:paraId="3B126A88" w14:textId="7EFEC52A" w:rsidR="000E1532" w:rsidRPr="000E1532" w:rsidRDefault="000E1532" w:rsidP="002630C0">
      <w:pPr>
        <w:pStyle w:val="ListParaBiblio"/>
      </w:pPr>
      <w:r w:rsidRPr="000E1532">
        <w:t xml:space="preserve">National Association for the Visual Arts, </w:t>
      </w:r>
      <w:r w:rsidRPr="002630C0">
        <w:t>https://visualarts.net.au</w:t>
      </w:r>
    </w:p>
    <w:p w14:paraId="16AAAEE3" w14:textId="07DDB93C" w:rsidR="00C17DBE" w:rsidRPr="002630C0" w:rsidRDefault="000E1532" w:rsidP="002630C0">
      <w:pPr>
        <w:ind w:firstLine="714"/>
        <w:rPr>
          <w:u w:val="single"/>
        </w:rPr>
      </w:pPr>
      <w:r w:rsidRPr="002630C0">
        <w:rPr>
          <w:u w:val="single"/>
        </w:rPr>
        <w:t>Austria</w:t>
      </w:r>
    </w:p>
    <w:p w14:paraId="6EE0295B" w14:textId="77777777" w:rsidR="00D11265" w:rsidRPr="00C05F11" w:rsidRDefault="00D11265" w:rsidP="002630C0">
      <w:pPr>
        <w:pStyle w:val="ListParaBiblio"/>
      </w:pPr>
      <w:proofErr w:type="spellStart"/>
      <w:r w:rsidRPr="00C05F11">
        <w:t>Artothek</w:t>
      </w:r>
      <w:proofErr w:type="spellEnd"/>
      <w:r w:rsidRPr="00C05F11">
        <w:t>, https://www.21erhaus.at/21h_en/21er_haus/artothek_des_bundes</w:t>
      </w:r>
    </w:p>
    <w:p w14:paraId="289F8078" w14:textId="77777777" w:rsidR="00D11265" w:rsidRPr="00C05F11" w:rsidRDefault="00D11265" w:rsidP="002630C0">
      <w:pPr>
        <w:pStyle w:val="ListParaBiblio"/>
      </w:pPr>
      <w:proofErr w:type="spellStart"/>
      <w:r w:rsidRPr="00C05F11">
        <w:t>Initiativen</w:t>
      </w:r>
      <w:proofErr w:type="spellEnd"/>
      <w:r w:rsidRPr="00C05F11">
        <w:t xml:space="preserve"> </w:t>
      </w:r>
      <w:proofErr w:type="spellStart"/>
      <w:r w:rsidRPr="00C05F11">
        <w:t>Wirtschaft</w:t>
      </w:r>
      <w:proofErr w:type="spellEnd"/>
      <w:r w:rsidRPr="00C05F11">
        <w:t xml:space="preserve"> </w:t>
      </w:r>
      <w:proofErr w:type="spellStart"/>
      <w:r w:rsidRPr="00C05F11">
        <w:t>für</w:t>
      </w:r>
      <w:proofErr w:type="spellEnd"/>
      <w:r w:rsidRPr="00C05F11">
        <w:t xml:space="preserve"> </w:t>
      </w:r>
      <w:proofErr w:type="spellStart"/>
      <w:r w:rsidRPr="00C05F11">
        <w:t>Kunst</w:t>
      </w:r>
      <w:proofErr w:type="spellEnd"/>
      <w:r w:rsidRPr="00C05F11">
        <w:t>, http://www.iwk.at/english.aspx</w:t>
      </w:r>
    </w:p>
    <w:p w14:paraId="0A10518A" w14:textId="5A8C62DF" w:rsidR="00D11265" w:rsidRPr="00C05F11" w:rsidRDefault="00D11265" w:rsidP="002630C0">
      <w:pPr>
        <w:pStyle w:val="ListParaBiblio"/>
      </w:pPr>
      <w:proofErr w:type="spellStart"/>
      <w:r w:rsidRPr="00C05F11">
        <w:t>KulturKontact</w:t>
      </w:r>
      <w:proofErr w:type="spellEnd"/>
      <w:r w:rsidRPr="00C05F11">
        <w:t xml:space="preserve"> Austria, </w:t>
      </w:r>
      <w:r w:rsidRPr="002630C0">
        <w:t>https://www.kulturkontakt.or.at</w:t>
      </w:r>
    </w:p>
    <w:p w14:paraId="2F14DBB9" w14:textId="77777777" w:rsidR="00D11265" w:rsidRPr="00C05F11" w:rsidRDefault="00D11265" w:rsidP="002630C0">
      <w:pPr>
        <w:pStyle w:val="ListParaBiblio"/>
      </w:pPr>
      <w:r w:rsidRPr="00C05F11">
        <w:t>Mentoring for women artists, http://www.kunstkultur.bka.gv.at/site/8085/default.aspx</w:t>
      </w:r>
    </w:p>
    <w:p w14:paraId="4B11E07B" w14:textId="36CEC664" w:rsidR="000E1532" w:rsidRPr="002630C0" w:rsidRDefault="00D11265" w:rsidP="002630C0">
      <w:pPr>
        <w:ind w:firstLine="714"/>
        <w:rPr>
          <w:u w:val="single"/>
        </w:rPr>
      </w:pPr>
      <w:r w:rsidRPr="002630C0">
        <w:rPr>
          <w:u w:val="single"/>
        </w:rPr>
        <w:t>Belgium</w:t>
      </w:r>
    </w:p>
    <w:p w14:paraId="38A9CA68" w14:textId="73EC75B2" w:rsidR="00D11265" w:rsidRPr="00C05F11" w:rsidRDefault="00D11265" w:rsidP="002630C0">
      <w:pPr>
        <w:pStyle w:val="ListParaBiblio"/>
      </w:pPr>
      <w:r w:rsidRPr="00C05F11">
        <w:t xml:space="preserve">Flanders Arts Institute, </w:t>
      </w:r>
      <w:r w:rsidRPr="002630C0">
        <w:t>https://www.flandersartsinstitute.be</w:t>
      </w:r>
    </w:p>
    <w:p w14:paraId="36D27B8F" w14:textId="6275D550" w:rsidR="00D11265" w:rsidRPr="00C05F11" w:rsidRDefault="00D11265" w:rsidP="002630C0">
      <w:pPr>
        <w:pStyle w:val="ListParaBiblio"/>
      </w:pPr>
      <w:proofErr w:type="spellStart"/>
      <w:r w:rsidRPr="00C05F11">
        <w:t>Promethea</w:t>
      </w:r>
      <w:proofErr w:type="spellEnd"/>
      <w:r w:rsidRPr="00C05F11">
        <w:t xml:space="preserve">, </w:t>
      </w:r>
      <w:r w:rsidR="00C05F11" w:rsidRPr="002630C0">
        <w:t>http://www.promethea.be</w:t>
      </w:r>
    </w:p>
    <w:p w14:paraId="177D597B" w14:textId="6D777FDE" w:rsidR="00C05F11" w:rsidRPr="002630C0" w:rsidRDefault="00C05F11" w:rsidP="002630C0">
      <w:pPr>
        <w:ind w:firstLine="714"/>
        <w:rPr>
          <w:u w:val="single"/>
        </w:rPr>
      </w:pPr>
      <w:r w:rsidRPr="002630C0">
        <w:rPr>
          <w:u w:val="single"/>
        </w:rPr>
        <w:t>Canada</w:t>
      </w:r>
    </w:p>
    <w:p w14:paraId="7EC64F77" w14:textId="77777777" w:rsidR="00CC28F1" w:rsidRPr="00C05F11" w:rsidRDefault="00CC28F1" w:rsidP="002630C0">
      <w:pPr>
        <w:pStyle w:val="ListParaBiblio"/>
      </w:pPr>
      <w:r w:rsidRPr="00C05F11">
        <w:t>Banff</w:t>
      </w:r>
      <w:r>
        <w:t xml:space="preserve"> </w:t>
      </w:r>
      <w:r w:rsidRPr="00C70787">
        <w:t>Centre for Arts and Creativity</w:t>
      </w:r>
      <w:r>
        <w:t xml:space="preserve">, </w:t>
      </w:r>
      <w:r w:rsidRPr="00C70787">
        <w:t>https://www.banffcentre.ca</w:t>
      </w:r>
    </w:p>
    <w:p w14:paraId="18E3793A" w14:textId="77777777" w:rsidR="00CC28F1" w:rsidRPr="00C05F11" w:rsidRDefault="00CC28F1" w:rsidP="002630C0">
      <w:pPr>
        <w:pStyle w:val="ListParaBiblio"/>
      </w:pPr>
      <w:r w:rsidRPr="00C05F11">
        <w:t>C-SARN</w:t>
      </w:r>
      <w:r>
        <w:t xml:space="preserve">, </w:t>
      </w:r>
      <w:r w:rsidRPr="00C70787">
        <w:t>http://www.csarn.ca</w:t>
      </w:r>
    </w:p>
    <w:p w14:paraId="69AE563F" w14:textId="77777777" w:rsidR="00CC28F1" w:rsidRPr="00C05F11" w:rsidRDefault="00CC28F1" w:rsidP="002630C0">
      <w:pPr>
        <w:pStyle w:val="ListParaBiblio"/>
      </w:pPr>
      <w:r w:rsidRPr="00C05F11">
        <w:t>Canada Council for the Arts, http://canadacouncil.ca</w:t>
      </w:r>
    </w:p>
    <w:p w14:paraId="602FA738" w14:textId="77777777" w:rsidR="00CC28F1" w:rsidRPr="00C05F11" w:rsidRDefault="00CC28F1" w:rsidP="002630C0">
      <w:pPr>
        <w:pStyle w:val="ListParaBiblio"/>
      </w:pPr>
      <w:r w:rsidRPr="00C05F11">
        <w:t>CARFAC, http://www.carfac.ca</w:t>
      </w:r>
    </w:p>
    <w:p w14:paraId="1F2F049C" w14:textId="77777777" w:rsidR="00CC28F1" w:rsidRPr="00CC28F1" w:rsidRDefault="00CC28F1" w:rsidP="00CC28F1">
      <w:pPr>
        <w:pStyle w:val="ListParaBiblio"/>
        <w:rPr>
          <w:lang w:eastAsia="en-GB"/>
        </w:rPr>
      </w:pPr>
      <w:proofErr w:type="spellStart"/>
      <w:r w:rsidRPr="00CC28F1">
        <w:rPr>
          <w:shd w:val="clear" w:color="auto" w:fill="FFFFFF"/>
          <w:lang w:eastAsia="en-GB"/>
        </w:rPr>
        <w:t>Conseil</w:t>
      </w:r>
      <w:proofErr w:type="spellEnd"/>
      <w:r w:rsidRPr="00CC28F1">
        <w:rPr>
          <w:shd w:val="clear" w:color="auto" w:fill="FFFFFF"/>
          <w:lang w:eastAsia="en-GB"/>
        </w:rPr>
        <w:t xml:space="preserve"> des arts et des </w:t>
      </w:r>
      <w:proofErr w:type="spellStart"/>
      <w:r w:rsidRPr="00CC28F1">
        <w:rPr>
          <w:shd w:val="clear" w:color="auto" w:fill="FFFFFF"/>
          <w:lang w:eastAsia="en-GB"/>
        </w:rPr>
        <w:t>lettres</w:t>
      </w:r>
      <w:proofErr w:type="spellEnd"/>
      <w:r w:rsidRPr="00CC28F1">
        <w:rPr>
          <w:shd w:val="clear" w:color="auto" w:fill="FFFFFF"/>
          <w:lang w:eastAsia="en-GB"/>
        </w:rPr>
        <w:t xml:space="preserve"> du Québec</w:t>
      </w:r>
      <w:r>
        <w:rPr>
          <w:shd w:val="clear" w:color="auto" w:fill="FFFFFF"/>
          <w:lang w:eastAsia="en-GB"/>
        </w:rPr>
        <w:t xml:space="preserve">, </w:t>
      </w:r>
      <w:r w:rsidRPr="00CC28F1">
        <w:rPr>
          <w:shd w:val="clear" w:color="auto" w:fill="FFFFFF"/>
          <w:lang w:eastAsia="en-GB"/>
        </w:rPr>
        <w:t>https://www.calq.gouv.qc.ca/en/</w:t>
      </w:r>
    </w:p>
    <w:p w14:paraId="69D09269" w14:textId="77777777" w:rsidR="00CC28F1" w:rsidRPr="009F6BB7" w:rsidRDefault="00CC28F1" w:rsidP="002630C0">
      <w:pPr>
        <w:pStyle w:val="ListParaBiblio"/>
      </w:pPr>
      <w:r w:rsidRPr="009F6BB7">
        <w:t>Cultural Human Resources Council, https://www.culturalhrc.ca/index-e.php</w:t>
      </w:r>
    </w:p>
    <w:p w14:paraId="7F61D1BF" w14:textId="3A36FFE2" w:rsidR="009F6BB7" w:rsidRPr="009F6BB7" w:rsidRDefault="00CC28F1" w:rsidP="00897D66">
      <w:pPr>
        <w:pStyle w:val="ListParaBiblio"/>
      </w:pPr>
      <w:r w:rsidRPr="009F6BB7">
        <w:t>Status of the Artist report</w:t>
      </w:r>
      <w:r w:rsidR="002630C0" w:rsidRPr="009F6BB7">
        <w:t xml:space="preserve"> 2010, </w:t>
      </w:r>
      <w:r w:rsidR="009F6BB7" w:rsidRPr="009F6BB7">
        <w:t>http://ccarts.ca/wp-content/uploads/2010/10/StatusoftheArtistReport1126101-Copy.pdf</w:t>
      </w:r>
    </w:p>
    <w:p w14:paraId="6E96362D" w14:textId="5BBB5F35" w:rsidR="00CC28F1" w:rsidRDefault="00CC28F1" w:rsidP="00897D66">
      <w:pPr>
        <w:pStyle w:val="ListParaBiblio"/>
      </w:pPr>
      <w:r>
        <w:t xml:space="preserve">Vancouver </w:t>
      </w:r>
      <w:r w:rsidRPr="00C05F11">
        <w:t>Contemporary Art Gallery</w:t>
      </w:r>
      <w:r>
        <w:t xml:space="preserve">, </w:t>
      </w:r>
      <w:r w:rsidRPr="002630C0">
        <w:t>https://www.contemporaryartgallery.ca</w:t>
      </w:r>
    </w:p>
    <w:p w14:paraId="170FF492" w14:textId="77777777" w:rsidR="00CC28F1" w:rsidRPr="002630C0" w:rsidRDefault="00CC28F1" w:rsidP="002630C0">
      <w:pPr>
        <w:ind w:firstLine="714"/>
        <w:rPr>
          <w:u w:val="single"/>
        </w:rPr>
      </w:pPr>
      <w:r w:rsidRPr="002630C0">
        <w:rPr>
          <w:u w:val="single"/>
        </w:rPr>
        <w:t>France</w:t>
      </w:r>
    </w:p>
    <w:p w14:paraId="0950A0B2" w14:textId="77777777" w:rsidR="0090606D" w:rsidRPr="0090606D" w:rsidRDefault="0090606D" w:rsidP="002630C0">
      <w:pPr>
        <w:pStyle w:val="ListParaBiblio"/>
      </w:pPr>
      <w:r w:rsidRPr="002630C0">
        <w:t xml:space="preserve">Centre national des arts </w:t>
      </w:r>
      <w:proofErr w:type="spellStart"/>
      <w:r w:rsidRPr="002630C0">
        <w:t>plastiques</w:t>
      </w:r>
      <w:proofErr w:type="spellEnd"/>
      <w:r w:rsidRPr="0090606D">
        <w:t>, http://www.cnap.fr</w:t>
      </w:r>
    </w:p>
    <w:p w14:paraId="753180BC" w14:textId="743BDBBD" w:rsidR="0090606D" w:rsidRPr="0090606D" w:rsidRDefault="0090606D" w:rsidP="002630C0">
      <w:pPr>
        <w:pStyle w:val="ListParaBiblio"/>
      </w:pPr>
      <w:proofErr w:type="spellStart"/>
      <w:r>
        <w:t>Cit</w:t>
      </w:r>
      <w:r w:rsidRPr="0090606D">
        <w:rPr>
          <w:shd w:val="clear" w:color="auto" w:fill="FFFFFF"/>
          <w:lang w:eastAsia="en-GB"/>
        </w:rPr>
        <w:t>é</w:t>
      </w:r>
      <w:proofErr w:type="spellEnd"/>
      <w:r w:rsidRPr="0090606D">
        <w:t xml:space="preserve"> des Arts, https://www.citedesartsparis.net</w:t>
      </w:r>
    </w:p>
    <w:p w14:paraId="0724B5B8" w14:textId="550F2F93" w:rsidR="0090606D" w:rsidRPr="002630C0" w:rsidRDefault="0090606D" w:rsidP="00CC28F1">
      <w:pPr>
        <w:pStyle w:val="ListParaBiblio"/>
        <w:rPr>
          <w:lang w:eastAsia="en-GB"/>
        </w:rPr>
      </w:pPr>
      <w:proofErr w:type="spellStart"/>
      <w:r w:rsidRPr="0090606D">
        <w:rPr>
          <w:shd w:val="clear" w:color="auto" w:fill="FFFFFF"/>
          <w:lang w:eastAsia="en-GB"/>
        </w:rPr>
        <w:t>Étant</w:t>
      </w:r>
      <w:proofErr w:type="spellEnd"/>
      <w:r w:rsidRPr="0090606D">
        <w:rPr>
          <w:shd w:val="clear" w:color="auto" w:fill="FFFFFF"/>
          <w:lang w:eastAsia="en-GB"/>
        </w:rPr>
        <w:t xml:space="preserve"> </w:t>
      </w:r>
      <w:proofErr w:type="spellStart"/>
      <w:r w:rsidRPr="0090606D">
        <w:rPr>
          <w:shd w:val="clear" w:color="auto" w:fill="FFFFFF"/>
          <w:lang w:eastAsia="en-GB"/>
        </w:rPr>
        <w:t>donnés</w:t>
      </w:r>
      <w:proofErr w:type="spellEnd"/>
      <w:r w:rsidRPr="0090606D">
        <w:rPr>
          <w:shd w:val="clear" w:color="auto" w:fill="FFFFFF"/>
          <w:lang w:eastAsia="en-GB"/>
        </w:rPr>
        <w:t xml:space="preserve"> Contemporary Art, </w:t>
      </w:r>
      <w:r w:rsidRPr="002630C0">
        <w:rPr>
          <w:shd w:val="clear" w:color="auto" w:fill="FFFFFF"/>
          <w:lang w:eastAsia="en-GB"/>
        </w:rPr>
        <w:t>http://face-foundation.org/visual-arts/</w:t>
      </w:r>
    </w:p>
    <w:p w14:paraId="265C0C6B" w14:textId="77777777" w:rsidR="0090606D" w:rsidRPr="0090606D" w:rsidRDefault="0090606D" w:rsidP="00CC28F1">
      <w:pPr>
        <w:pStyle w:val="ListParaBiblio"/>
        <w:rPr>
          <w:lang w:eastAsia="en-GB"/>
        </w:rPr>
      </w:pPr>
      <w:proofErr w:type="spellStart"/>
      <w:r w:rsidRPr="0090606D">
        <w:rPr>
          <w:lang w:eastAsia="en-GB"/>
        </w:rPr>
        <w:t>Fluxus</w:t>
      </w:r>
      <w:proofErr w:type="spellEnd"/>
      <w:r w:rsidRPr="0090606D">
        <w:rPr>
          <w:lang w:eastAsia="en-GB"/>
        </w:rPr>
        <w:t xml:space="preserve"> Art Projects, http://fluxusartprojects.com/en/</w:t>
      </w:r>
    </w:p>
    <w:p w14:paraId="34551DAB" w14:textId="77777777" w:rsidR="0090606D" w:rsidRPr="002630C0" w:rsidRDefault="0090606D" w:rsidP="002630C0">
      <w:pPr>
        <w:pStyle w:val="ListParaBiblio"/>
      </w:pPr>
      <w:r w:rsidRPr="002630C0">
        <w:t>FNAC (</w:t>
      </w:r>
      <w:proofErr w:type="spellStart"/>
      <w:r w:rsidRPr="0090606D">
        <w:t>Fonds</w:t>
      </w:r>
      <w:proofErr w:type="spellEnd"/>
      <w:r w:rsidRPr="0090606D">
        <w:t xml:space="preserve"> national d'art </w:t>
      </w:r>
      <w:proofErr w:type="spellStart"/>
      <w:r w:rsidRPr="0090606D">
        <w:t>contemporain</w:t>
      </w:r>
      <w:proofErr w:type="spellEnd"/>
      <w:r w:rsidRPr="0090606D">
        <w:t>)</w:t>
      </w:r>
      <w:r w:rsidRPr="002630C0">
        <w:t xml:space="preserve">, </w:t>
      </w:r>
      <w:r w:rsidRPr="0090606D">
        <w:t>http://www.cnap.fr/en_cnap</w:t>
      </w:r>
    </w:p>
    <w:p w14:paraId="405FF6D2" w14:textId="77777777" w:rsidR="0090606D" w:rsidRPr="0090606D" w:rsidRDefault="0090606D" w:rsidP="002630C0">
      <w:pPr>
        <w:pStyle w:val="ListParaBiblio"/>
      </w:pPr>
      <w:r w:rsidRPr="0090606D">
        <w:t>FRAC (</w:t>
      </w:r>
      <w:proofErr w:type="spellStart"/>
      <w:r w:rsidRPr="0090606D">
        <w:t>Fonds</w:t>
      </w:r>
      <w:proofErr w:type="spellEnd"/>
      <w:r w:rsidRPr="0090606D">
        <w:t xml:space="preserve"> </w:t>
      </w:r>
      <w:proofErr w:type="spellStart"/>
      <w:r w:rsidRPr="0090606D">
        <w:t>régionaux</w:t>
      </w:r>
      <w:proofErr w:type="spellEnd"/>
      <w:r w:rsidRPr="0090606D">
        <w:t xml:space="preserve"> d’art </w:t>
      </w:r>
      <w:proofErr w:type="spellStart"/>
      <w:r w:rsidRPr="0090606D">
        <w:t>contemporain</w:t>
      </w:r>
      <w:proofErr w:type="spellEnd"/>
      <w:r w:rsidRPr="0090606D">
        <w:t>), http://www.frac-platform.com</w:t>
      </w:r>
    </w:p>
    <w:p w14:paraId="1B2BAEB1" w14:textId="77777777" w:rsidR="0090606D" w:rsidRPr="002630C0" w:rsidRDefault="00CC28F1" w:rsidP="002630C0">
      <w:pPr>
        <w:ind w:firstLine="714"/>
        <w:rPr>
          <w:u w:val="single"/>
        </w:rPr>
      </w:pPr>
      <w:r w:rsidRPr="002630C0">
        <w:rPr>
          <w:u w:val="single"/>
        </w:rPr>
        <w:t>Germany</w:t>
      </w:r>
    </w:p>
    <w:p w14:paraId="785AE942" w14:textId="77777777" w:rsidR="0090606D" w:rsidRPr="0090606D" w:rsidRDefault="0090606D" w:rsidP="002630C0">
      <w:pPr>
        <w:pStyle w:val="ListParaBiblio"/>
      </w:pPr>
      <w:proofErr w:type="spellStart"/>
      <w:r w:rsidRPr="002630C0">
        <w:t>Bundeskunsthalle</w:t>
      </w:r>
      <w:proofErr w:type="spellEnd"/>
      <w:r>
        <w:t xml:space="preserve">, </w:t>
      </w:r>
      <w:r w:rsidRPr="002630C0">
        <w:t>http://www.bundeskunsthalle.de/en/home.html</w:t>
      </w:r>
    </w:p>
    <w:p w14:paraId="52B38030" w14:textId="77777777" w:rsidR="0090606D" w:rsidRPr="0090606D" w:rsidRDefault="0090606D" w:rsidP="002630C0">
      <w:pPr>
        <w:pStyle w:val="ListParaBiblio"/>
        <w:rPr>
          <w:b/>
        </w:rPr>
      </w:pPr>
      <w:r w:rsidRPr="0090606D">
        <w:rPr>
          <w:lang w:val="en-US"/>
        </w:rPr>
        <w:t>DAAD</w:t>
      </w:r>
      <w:r>
        <w:rPr>
          <w:lang w:val="en-US"/>
        </w:rPr>
        <w:t xml:space="preserve">, </w:t>
      </w:r>
      <w:r w:rsidRPr="0090606D">
        <w:rPr>
          <w:lang w:val="en-US"/>
        </w:rPr>
        <w:t>https://www.daad.de/en/</w:t>
      </w:r>
    </w:p>
    <w:p w14:paraId="4B498AFA" w14:textId="77777777" w:rsidR="0090606D" w:rsidRPr="002630C0" w:rsidRDefault="0090606D" w:rsidP="002630C0">
      <w:pPr>
        <w:pStyle w:val="ListParaBiblio"/>
        <w:rPr>
          <w:lang w:val="en-US"/>
        </w:rPr>
      </w:pPr>
      <w:r w:rsidRPr="0090606D">
        <w:rPr>
          <w:lang w:val="en-US"/>
        </w:rPr>
        <w:t xml:space="preserve">Gabriele </w:t>
      </w:r>
      <w:proofErr w:type="spellStart"/>
      <w:r w:rsidRPr="0090606D">
        <w:rPr>
          <w:lang w:val="en-US"/>
        </w:rPr>
        <w:t>M</w:t>
      </w:r>
      <w:r w:rsidRPr="00F91DFA">
        <w:rPr>
          <w:lang w:val="en-US"/>
        </w:rPr>
        <w:t>ü</w:t>
      </w:r>
      <w:r w:rsidRPr="002630C0">
        <w:rPr>
          <w:lang w:val="en-US"/>
        </w:rPr>
        <w:t>nter</w:t>
      </w:r>
      <w:proofErr w:type="spellEnd"/>
      <w:r>
        <w:rPr>
          <w:lang w:val="en-US"/>
        </w:rPr>
        <w:t xml:space="preserve"> prize, </w:t>
      </w:r>
      <w:r w:rsidRPr="0090606D">
        <w:rPr>
          <w:lang w:val="en-US"/>
        </w:rPr>
        <w:t>http://www.gabrielemuenterpreis.de</w:t>
      </w:r>
    </w:p>
    <w:p w14:paraId="5F6574FB" w14:textId="77777777" w:rsidR="0090606D" w:rsidRPr="0090606D" w:rsidRDefault="0090606D" w:rsidP="002630C0">
      <w:pPr>
        <w:pStyle w:val="ListParaBiblio"/>
        <w:rPr>
          <w:lang w:val="en-US"/>
        </w:rPr>
      </w:pPr>
      <w:r w:rsidRPr="002630C0">
        <w:rPr>
          <w:lang w:val="en-US"/>
        </w:rPr>
        <w:t>GEDOK</w:t>
      </w:r>
      <w:r>
        <w:rPr>
          <w:lang w:val="en-US"/>
        </w:rPr>
        <w:t xml:space="preserve">, </w:t>
      </w:r>
      <w:r w:rsidRPr="0090606D">
        <w:rPr>
          <w:lang w:val="en-US"/>
        </w:rPr>
        <w:t>http://gedok.de/08/</w:t>
      </w:r>
    </w:p>
    <w:p w14:paraId="5245AB0E" w14:textId="77777777" w:rsidR="0090606D" w:rsidRPr="0090606D" w:rsidRDefault="0090606D" w:rsidP="002630C0">
      <w:pPr>
        <w:pStyle w:val="ListParaBiblio"/>
      </w:pPr>
      <w:r w:rsidRPr="002630C0">
        <w:t>Ger</w:t>
      </w:r>
      <w:r w:rsidRPr="0090606D">
        <w:t xml:space="preserve">man Federal Cultural Foundation, </w:t>
      </w:r>
      <w:r w:rsidRPr="002630C0">
        <w:t>http://www.kulturstiftung-des-bundes.de</w:t>
      </w:r>
    </w:p>
    <w:p w14:paraId="55C02B2D" w14:textId="77777777" w:rsidR="0090606D" w:rsidRPr="002630C0" w:rsidRDefault="0090606D" w:rsidP="002630C0">
      <w:pPr>
        <w:pStyle w:val="ListParaBiblio"/>
      </w:pPr>
      <w:r w:rsidRPr="0090606D">
        <w:t>Goethe I</w:t>
      </w:r>
      <w:r w:rsidRPr="002630C0">
        <w:t>nstitute</w:t>
      </w:r>
      <w:r>
        <w:t xml:space="preserve">, </w:t>
      </w:r>
      <w:r w:rsidRPr="0090606D">
        <w:t>https://www.goethe.de/en/index.html</w:t>
      </w:r>
    </w:p>
    <w:p w14:paraId="48453730" w14:textId="77777777" w:rsidR="0090606D" w:rsidRPr="0090606D" w:rsidRDefault="0090606D" w:rsidP="002630C0">
      <w:pPr>
        <w:pStyle w:val="ListParaBiblio"/>
        <w:rPr>
          <w:lang w:val="en-US"/>
        </w:rPr>
      </w:pPr>
      <w:proofErr w:type="spellStart"/>
      <w:r w:rsidRPr="002630C0">
        <w:rPr>
          <w:lang w:val="en-US"/>
        </w:rPr>
        <w:t>Goldrausch</w:t>
      </w:r>
      <w:proofErr w:type="spellEnd"/>
      <w:r w:rsidRPr="002630C0">
        <w:rPr>
          <w:lang w:val="en-US"/>
        </w:rPr>
        <w:t xml:space="preserve"> </w:t>
      </w:r>
      <w:proofErr w:type="spellStart"/>
      <w:r w:rsidRPr="002630C0">
        <w:rPr>
          <w:lang w:val="en-US"/>
        </w:rPr>
        <w:t>Künstlerinnenprojekt</w:t>
      </w:r>
      <w:proofErr w:type="spellEnd"/>
      <w:r>
        <w:rPr>
          <w:lang w:val="en-US"/>
        </w:rPr>
        <w:t xml:space="preserve">, </w:t>
      </w:r>
      <w:r w:rsidRPr="0090606D">
        <w:rPr>
          <w:lang w:val="en-US"/>
        </w:rPr>
        <w:t>http://goldrausch-kuenstlerinnen.de/en/</w:t>
      </w:r>
    </w:p>
    <w:p w14:paraId="2262FE1D" w14:textId="77777777" w:rsidR="0090606D" w:rsidRPr="0090606D" w:rsidRDefault="0090606D" w:rsidP="002630C0">
      <w:pPr>
        <w:pStyle w:val="ListParaBiblio"/>
      </w:pPr>
      <w:r w:rsidRPr="002630C0">
        <w:t>IGBK</w:t>
      </w:r>
      <w:r w:rsidRPr="0090606D">
        <w:t>, http://test.igbk.de/index.php/en/</w:t>
      </w:r>
    </w:p>
    <w:p w14:paraId="4ABB5190" w14:textId="656B613E" w:rsidR="0090606D" w:rsidRDefault="0090606D" w:rsidP="002630C0">
      <w:pPr>
        <w:pStyle w:val="ListParaBiblio"/>
      </w:pPr>
      <w:proofErr w:type="spellStart"/>
      <w:r w:rsidRPr="002630C0">
        <w:t>Institut</w:t>
      </w:r>
      <w:proofErr w:type="spellEnd"/>
      <w:r w:rsidRPr="002630C0">
        <w:t xml:space="preserve"> </w:t>
      </w:r>
      <w:proofErr w:type="spellStart"/>
      <w:r w:rsidRPr="002630C0">
        <w:t>für</w:t>
      </w:r>
      <w:proofErr w:type="spellEnd"/>
      <w:r w:rsidRPr="002630C0">
        <w:t xml:space="preserve"> </w:t>
      </w:r>
      <w:proofErr w:type="spellStart"/>
      <w:r w:rsidRPr="002630C0">
        <w:t>Auslandsbeziehungen</w:t>
      </w:r>
      <w:proofErr w:type="spellEnd"/>
      <w:r>
        <w:t>,</w:t>
      </w:r>
      <w:r w:rsidRPr="002630C0">
        <w:t xml:space="preserve"> </w:t>
      </w:r>
      <w:r w:rsidRPr="009F6BB7">
        <w:t>http://www.ifa.de/en.html</w:t>
      </w:r>
    </w:p>
    <w:p w14:paraId="5147C480" w14:textId="2FACE103" w:rsidR="0090606D" w:rsidRPr="002630C0" w:rsidRDefault="0090606D" w:rsidP="002630C0">
      <w:pPr>
        <w:ind w:firstLine="714"/>
        <w:rPr>
          <w:u w:val="single"/>
        </w:rPr>
      </w:pPr>
      <w:r w:rsidRPr="002630C0">
        <w:rPr>
          <w:u w:val="single"/>
        </w:rPr>
        <w:t>Ireland</w:t>
      </w:r>
    </w:p>
    <w:p w14:paraId="7678A340" w14:textId="6A8BC80F" w:rsidR="0090606D" w:rsidRPr="00F47069" w:rsidRDefault="0090606D" w:rsidP="002630C0">
      <w:pPr>
        <w:pStyle w:val="ListParaBiblio"/>
      </w:pPr>
      <w:proofErr w:type="spellStart"/>
      <w:r>
        <w:lastRenderedPageBreak/>
        <w:t>Aosdana</w:t>
      </w:r>
      <w:proofErr w:type="spellEnd"/>
      <w:r>
        <w:t xml:space="preserve">, </w:t>
      </w:r>
      <w:r w:rsidRPr="00F47069">
        <w:t>http://aosdana.artscouncil.ie/Home.aspx</w:t>
      </w:r>
    </w:p>
    <w:p w14:paraId="0A37FC12" w14:textId="02A37BE0" w:rsidR="0090606D" w:rsidRDefault="0090606D" w:rsidP="002630C0">
      <w:pPr>
        <w:pStyle w:val="ListParaBiblio"/>
      </w:pPr>
      <w:r>
        <w:t xml:space="preserve">Public Art, </w:t>
      </w:r>
      <w:r w:rsidRPr="009F6BB7">
        <w:t>https://publicart.ie</w:t>
      </w:r>
    </w:p>
    <w:p w14:paraId="0D1BC3D1" w14:textId="11382821" w:rsidR="0090606D" w:rsidRDefault="0090606D" w:rsidP="002630C0">
      <w:pPr>
        <w:pStyle w:val="ListParaBiblio"/>
      </w:pPr>
      <w:r>
        <w:t xml:space="preserve">Visual Artists Ireland, </w:t>
      </w:r>
      <w:r w:rsidRPr="009F6BB7">
        <w:t>http://visualartists.ie/</w:t>
      </w:r>
    </w:p>
    <w:p w14:paraId="2FCD1562" w14:textId="074C7D31" w:rsidR="0090606D" w:rsidRPr="002630C0" w:rsidRDefault="0090606D" w:rsidP="002630C0">
      <w:pPr>
        <w:ind w:firstLine="714"/>
        <w:rPr>
          <w:u w:val="single"/>
        </w:rPr>
      </w:pPr>
      <w:r w:rsidRPr="002630C0">
        <w:rPr>
          <w:u w:val="single"/>
        </w:rPr>
        <w:t>Netherlands</w:t>
      </w:r>
    </w:p>
    <w:p w14:paraId="0C99200D" w14:textId="77777777" w:rsidR="001E5A4E" w:rsidRPr="0090606D" w:rsidRDefault="001E5A4E" w:rsidP="002630C0">
      <w:pPr>
        <w:pStyle w:val="ListParaBiblio"/>
      </w:pPr>
      <w:r w:rsidRPr="002630C0">
        <w:t>Care About Culture</w:t>
      </w:r>
      <w:r w:rsidRPr="001E5A4E">
        <w:t>, https://www.daargeefjeom.nl</w:t>
      </w:r>
    </w:p>
    <w:p w14:paraId="696F388F" w14:textId="77777777" w:rsidR="001E5A4E" w:rsidRDefault="001E5A4E" w:rsidP="002630C0">
      <w:pPr>
        <w:pStyle w:val="ListParaBiblio"/>
      </w:pPr>
      <w:r w:rsidRPr="002630C0">
        <w:t xml:space="preserve">De Ateliers, </w:t>
      </w:r>
      <w:r w:rsidRPr="001E5A4E">
        <w:t>https://www.de-ateliers.nl/en/</w:t>
      </w:r>
    </w:p>
    <w:p w14:paraId="6AD9BBBC" w14:textId="77777777" w:rsidR="001E5A4E" w:rsidRPr="001E5A4E" w:rsidRDefault="001E5A4E" w:rsidP="002630C0">
      <w:pPr>
        <w:pStyle w:val="ListParaBiblio"/>
      </w:pPr>
      <w:r w:rsidRPr="002630C0">
        <w:t xml:space="preserve">Jan Van Eyck </w:t>
      </w:r>
      <w:proofErr w:type="spellStart"/>
      <w:r w:rsidRPr="002630C0">
        <w:t>Academie</w:t>
      </w:r>
      <w:proofErr w:type="spellEnd"/>
      <w:r>
        <w:t xml:space="preserve">, </w:t>
      </w:r>
      <w:r w:rsidRPr="001E5A4E">
        <w:t>http://www.janvaneyck.nl/en/news/</w:t>
      </w:r>
    </w:p>
    <w:p w14:paraId="3E0409D1" w14:textId="77777777" w:rsidR="001E5A4E" w:rsidRPr="002630C0" w:rsidRDefault="001E5A4E" w:rsidP="002630C0">
      <w:pPr>
        <w:pStyle w:val="ListParaBiblio"/>
      </w:pPr>
      <w:proofErr w:type="spellStart"/>
      <w:r w:rsidRPr="002630C0">
        <w:t>Mondriaan</w:t>
      </w:r>
      <w:proofErr w:type="spellEnd"/>
      <w:r w:rsidRPr="002630C0">
        <w:t xml:space="preserve"> Fund, https://www.mondriaanfonds.nl/en/</w:t>
      </w:r>
    </w:p>
    <w:p w14:paraId="3BF96DC5" w14:textId="77777777" w:rsidR="001E5A4E" w:rsidRDefault="001E5A4E" w:rsidP="002630C0">
      <w:pPr>
        <w:pStyle w:val="ListParaBiblio"/>
      </w:pPr>
      <w:proofErr w:type="spellStart"/>
      <w:r w:rsidRPr="002630C0">
        <w:t>Rijksacademie</w:t>
      </w:r>
      <w:proofErr w:type="spellEnd"/>
      <w:r w:rsidRPr="001E5A4E">
        <w:t>, http://www.rijksakademie.nl/ENG/</w:t>
      </w:r>
    </w:p>
    <w:p w14:paraId="2B13EF44" w14:textId="5F3A3D77" w:rsidR="00D11265" w:rsidRPr="002630C0" w:rsidRDefault="00CC28F1" w:rsidP="002630C0">
      <w:pPr>
        <w:ind w:left="714"/>
        <w:rPr>
          <w:u w:val="single"/>
        </w:rPr>
      </w:pPr>
      <w:r w:rsidRPr="002630C0">
        <w:rPr>
          <w:u w:val="single"/>
        </w:rPr>
        <w:t>Nordic Region</w:t>
      </w:r>
    </w:p>
    <w:p w14:paraId="6A716053" w14:textId="77777777" w:rsidR="0079041F" w:rsidRPr="0079041F" w:rsidRDefault="0079041F" w:rsidP="0079041F">
      <w:pPr>
        <w:pStyle w:val="ListParaBiblio"/>
      </w:pPr>
      <w:r w:rsidRPr="00A51F7A">
        <w:t>Nordic Cultural Point, https://www.nordiskkulturkontakt.org/en</w:t>
      </w:r>
    </w:p>
    <w:p w14:paraId="42517F2C" w14:textId="6B79ACFE" w:rsidR="0079041F" w:rsidRPr="0079041F" w:rsidRDefault="0079041F" w:rsidP="0079041F">
      <w:pPr>
        <w:pStyle w:val="ListParaBiblio"/>
      </w:pPr>
      <w:r w:rsidRPr="005B2ABD">
        <w:t>Nordic Matters</w:t>
      </w:r>
      <w:r>
        <w:t xml:space="preserve">, </w:t>
      </w:r>
      <w:r w:rsidRPr="0079041F">
        <w:t>http://www.norden.org/en/theme/nordic-matters</w:t>
      </w:r>
    </w:p>
    <w:p w14:paraId="394200A0" w14:textId="77777777" w:rsidR="0079041F" w:rsidRPr="0079041F" w:rsidRDefault="0079041F" w:rsidP="002630C0">
      <w:pPr>
        <w:pStyle w:val="ListParaBiblio"/>
      </w:pPr>
      <w:r>
        <w:t>Copenhagen Art</w:t>
      </w:r>
      <w:r w:rsidRPr="0079041F">
        <w:t xml:space="preserve"> Week</w:t>
      </w:r>
      <w:r>
        <w:t xml:space="preserve">, </w:t>
      </w:r>
      <w:r w:rsidRPr="0079041F">
        <w:t>https://cphartweek.dk/en/</w:t>
      </w:r>
    </w:p>
    <w:p w14:paraId="341EBA31" w14:textId="77777777" w:rsidR="0079041F" w:rsidRPr="0079041F" w:rsidRDefault="0079041F" w:rsidP="002630C0">
      <w:pPr>
        <w:pStyle w:val="ListParaBiblio"/>
      </w:pPr>
      <w:r w:rsidRPr="002630C0">
        <w:t>Danish Art Workshops, http://svfk.dk/en</w:t>
      </w:r>
    </w:p>
    <w:p w14:paraId="19D9A8E5" w14:textId="77777777" w:rsidR="0079041F" w:rsidRPr="0079041F" w:rsidRDefault="0079041F" w:rsidP="002630C0">
      <w:pPr>
        <w:pStyle w:val="ListParaBiblio"/>
      </w:pPr>
      <w:r w:rsidRPr="002630C0">
        <w:t>Danish Arts Foundation, https://www.kunst.dk/english</w:t>
      </w:r>
    </w:p>
    <w:p w14:paraId="4E310A6B" w14:textId="77777777" w:rsidR="0079041F" w:rsidRPr="0079041F" w:rsidRDefault="0079041F" w:rsidP="002630C0">
      <w:pPr>
        <w:pStyle w:val="ListParaBiblio"/>
      </w:pPr>
      <w:r w:rsidRPr="002630C0">
        <w:t>Ministry of Culture Denmark, https://english.kum.dk/cultural-policy</w:t>
      </w:r>
    </w:p>
    <w:p w14:paraId="0177BE2E" w14:textId="77777777" w:rsidR="0079041F" w:rsidRPr="0079041F" w:rsidRDefault="0079041F" w:rsidP="002630C0">
      <w:pPr>
        <w:pStyle w:val="ListParaBiblio"/>
      </w:pPr>
      <w:r w:rsidRPr="002630C0">
        <w:t>Arts P</w:t>
      </w:r>
      <w:r w:rsidRPr="0079041F">
        <w:t>romotion Centre Finland (</w:t>
      </w:r>
      <w:proofErr w:type="spellStart"/>
      <w:r w:rsidRPr="0079041F">
        <w:t>Taike</w:t>
      </w:r>
      <w:proofErr w:type="spellEnd"/>
      <w:r w:rsidRPr="0079041F">
        <w:t xml:space="preserve">), </w:t>
      </w:r>
      <w:r w:rsidRPr="002630C0">
        <w:t>http://www.taike.fi/en/</w:t>
      </w:r>
    </w:p>
    <w:p w14:paraId="69C7AE38" w14:textId="77777777" w:rsidR="0079041F" w:rsidRPr="0079041F" w:rsidRDefault="0079041F" w:rsidP="002630C0">
      <w:pPr>
        <w:pStyle w:val="ListParaBiblio"/>
      </w:pPr>
      <w:r w:rsidRPr="002630C0">
        <w:t>Frame Contemporary Art Finlan</w:t>
      </w:r>
      <w:r w:rsidRPr="0079041F">
        <w:t xml:space="preserve">d, </w:t>
      </w:r>
      <w:r w:rsidRPr="002630C0">
        <w:t>https://frame-finland.fi/en/</w:t>
      </w:r>
    </w:p>
    <w:p w14:paraId="2C738D70" w14:textId="77777777" w:rsidR="0079041F" w:rsidRPr="0079041F" w:rsidRDefault="0079041F" w:rsidP="002630C0">
      <w:pPr>
        <w:pStyle w:val="ListParaBiblio"/>
      </w:pPr>
      <w:r w:rsidRPr="0079041F">
        <w:t>Helsinki International Artists’ Association, http://hiaa.fi/home/</w:t>
      </w:r>
    </w:p>
    <w:p w14:paraId="3719498E" w14:textId="77777777" w:rsidR="0079041F" w:rsidRPr="0079041F" w:rsidRDefault="0079041F" w:rsidP="002630C0">
      <w:pPr>
        <w:pStyle w:val="ListParaBiblio"/>
      </w:pPr>
      <w:r w:rsidRPr="002630C0">
        <w:t>Arts Council Norway, http://www.kulturradet.no/english/</w:t>
      </w:r>
    </w:p>
    <w:p w14:paraId="6027A41A" w14:textId="77777777" w:rsidR="0079041F" w:rsidRPr="0079041F" w:rsidRDefault="0079041F" w:rsidP="002630C0">
      <w:pPr>
        <w:pStyle w:val="ListParaBiblio"/>
      </w:pPr>
      <w:r w:rsidRPr="0079041F">
        <w:t>Norwegian Visual Artists Association Report, http://www.iaa-europe.eu/images/sampledata/iaacontent/Nationalreports/NR_Norway_IAA_Report_Norway_NBK_2016.pdf</w:t>
      </w:r>
    </w:p>
    <w:p w14:paraId="6BCF5947" w14:textId="77777777" w:rsidR="0079041F" w:rsidRPr="0079041F" w:rsidRDefault="0079041F" w:rsidP="002630C0">
      <w:pPr>
        <w:pStyle w:val="ListParaBiblio"/>
      </w:pPr>
      <w:r w:rsidRPr="002630C0">
        <w:t xml:space="preserve">Public Art Norway (KORO), https://publicartnorway.org/ </w:t>
      </w:r>
    </w:p>
    <w:p w14:paraId="1876448C" w14:textId="6CA18A19" w:rsidR="00CC28F1" w:rsidRPr="0079041F" w:rsidRDefault="00CC28F1" w:rsidP="002630C0">
      <w:pPr>
        <w:pStyle w:val="ListParaBiblio"/>
      </w:pPr>
      <w:r w:rsidRPr="002630C0">
        <w:t>IASPIS</w:t>
      </w:r>
      <w:r w:rsidR="001E5A4E" w:rsidRPr="002630C0">
        <w:t xml:space="preserve">, </w:t>
      </w:r>
      <w:r w:rsidRPr="002630C0">
        <w:t>https://www.konstnarsnamnden.se/default.aspx?id=11328</w:t>
      </w:r>
    </w:p>
    <w:p w14:paraId="3689F6CE" w14:textId="1AC04F46" w:rsidR="00CC28F1" w:rsidRPr="0079041F" w:rsidRDefault="00CC28F1" w:rsidP="002630C0">
      <w:pPr>
        <w:pStyle w:val="ListParaBiblio"/>
      </w:pPr>
      <w:r w:rsidRPr="002630C0">
        <w:t>Sweden</w:t>
      </w:r>
      <w:r w:rsidR="0079041F" w:rsidRPr="002630C0">
        <w:t xml:space="preserve">’s Percent for Art Scheme, </w:t>
      </w:r>
      <w:r w:rsidRPr="002630C0">
        <w:t>http://www.worldcitiescultureforum.com/ca</w:t>
      </w:r>
      <w:r w:rsidR="0079041F" w:rsidRPr="002630C0">
        <w:t>se_studies/the-one-percent-rule</w:t>
      </w:r>
    </w:p>
    <w:p w14:paraId="1F634251" w14:textId="6C4F3F67" w:rsidR="0079041F" w:rsidRDefault="00CC28F1" w:rsidP="002630C0">
      <w:pPr>
        <w:pStyle w:val="ListParaBiblio"/>
      </w:pPr>
      <w:r w:rsidRPr="0079041F">
        <w:t>Swe</w:t>
      </w:r>
      <w:r w:rsidR="0079041F" w:rsidRPr="0079041F">
        <w:t>dish Arts Council</w:t>
      </w:r>
      <w:r w:rsidR="002630C0">
        <w:t xml:space="preserve">, </w:t>
      </w:r>
      <w:r w:rsidR="0079041F" w:rsidRPr="002630C0">
        <w:t>http://www.kulturradet.se/en/In-English/</w:t>
      </w:r>
    </w:p>
    <w:p w14:paraId="3C7BE34A" w14:textId="40BFEA3D" w:rsidR="0079041F" w:rsidRPr="002630C0" w:rsidRDefault="0079041F" w:rsidP="002630C0">
      <w:pPr>
        <w:ind w:firstLine="714"/>
        <w:rPr>
          <w:u w:val="single"/>
        </w:rPr>
      </w:pPr>
      <w:r w:rsidRPr="002630C0">
        <w:rPr>
          <w:u w:val="single"/>
        </w:rPr>
        <w:t>USA</w:t>
      </w:r>
    </w:p>
    <w:p w14:paraId="2A852916" w14:textId="77777777" w:rsidR="0079041F" w:rsidRPr="0079041F" w:rsidRDefault="0079041F" w:rsidP="0079041F">
      <w:pPr>
        <w:pStyle w:val="ListParaBiblio"/>
      </w:pPr>
      <w:r w:rsidRPr="0079041F">
        <w:t>Americans for the Arts, http://www.americansforthearts.</w:t>
      </w:r>
      <w:bookmarkStart w:id="23" w:name="_GoBack"/>
      <w:bookmarkEnd w:id="23"/>
      <w:r w:rsidRPr="0079041F">
        <w:t>org/</w:t>
      </w:r>
    </w:p>
    <w:p w14:paraId="5185F028" w14:textId="77777777" w:rsidR="0079041F" w:rsidRPr="0079041F" w:rsidRDefault="0079041F" w:rsidP="0079041F">
      <w:pPr>
        <w:pStyle w:val="ListParaBiblio"/>
      </w:pPr>
      <w:r w:rsidRPr="002630C0">
        <w:t>National Arts Marketing Project, http://namp.americansforthearts.org/</w:t>
      </w:r>
    </w:p>
    <w:p w14:paraId="1A5B0D18" w14:textId="77777777" w:rsidR="0079041F" w:rsidRPr="0079041F" w:rsidRDefault="0079041F" w:rsidP="0079041F">
      <w:pPr>
        <w:pStyle w:val="ListParaBiblio"/>
      </w:pPr>
      <w:r w:rsidRPr="0079041F">
        <w:t>NYC Percent for Art, http://www1.nyc.gov/site/dclapercentforart/index.page</w:t>
      </w:r>
    </w:p>
    <w:p w14:paraId="32120E0A" w14:textId="77777777" w:rsidR="0079041F" w:rsidRPr="0079041F" w:rsidRDefault="0079041F" w:rsidP="0079041F">
      <w:pPr>
        <w:pStyle w:val="ListParaBiblio"/>
      </w:pPr>
      <w:proofErr w:type="spellStart"/>
      <w:r w:rsidRPr="0079041F">
        <w:t>pARTnership</w:t>
      </w:r>
      <w:proofErr w:type="spellEnd"/>
      <w:r w:rsidRPr="0079041F">
        <w:t xml:space="preserve"> Movement, http://www.partnershipmovement.org/the-movement/</w:t>
      </w:r>
    </w:p>
    <w:p w14:paraId="79B15192" w14:textId="77777777" w:rsidR="0079041F" w:rsidRPr="0079041F" w:rsidRDefault="0079041F" w:rsidP="0079041F">
      <w:pPr>
        <w:pStyle w:val="ListParaBiblio"/>
      </w:pPr>
      <w:r w:rsidRPr="002630C0">
        <w:t>Seattle Office of Arts &amp; Culture, https://www.seattle.gov/arts</w:t>
      </w:r>
    </w:p>
    <w:p w14:paraId="22935A3B" w14:textId="77777777" w:rsidR="0079041F" w:rsidRPr="0079041F" w:rsidRDefault="0079041F" w:rsidP="0079041F">
      <w:pPr>
        <w:pStyle w:val="ListParaBiblio"/>
      </w:pPr>
      <w:r w:rsidRPr="0079041F">
        <w:t>WAGE, http://www.wageforwork.com/home</w:t>
      </w:r>
    </w:p>
    <w:p w14:paraId="34B10735" w14:textId="77777777" w:rsidR="0079041F" w:rsidRPr="0079041F" w:rsidRDefault="0079041F" w:rsidP="002630C0">
      <w:pPr>
        <w:pStyle w:val="ListParaBiblio"/>
        <w:numPr>
          <w:ilvl w:val="0"/>
          <w:numId w:val="0"/>
        </w:numPr>
        <w:ind w:left="357"/>
      </w:pPr>
    </w:p>
    <w:p w14:paraId="7D754A75" w14:textId="77777777" w:rsidR="00CC28F1" w:rsidRPr="002630C0" w:rsidRDefault="00CC28F1" w:rsidP="00CC28F1">
      <w:pPr>
        <w:rPr>
          <w:lang w:val="en-US"/>
        </w:rPr>
      </w:pPr>
    </w:p>
    <w:sectPr w:rsidR="00CC28F1" w:rsidRPr="002630C0" w:rsidSect="006E2226">
      <w:footerReference w:type="default" r:id="rId12"/>
      <w:pgSz w:w="11900" w:h="16840"/>
      <w:pgMar w:top="1440" w:right="1440" w:bottom="1440" w:left="1440" w:header="708" w:footer="708" w:gutter="0"/>
      <w:pgNumType w:start="1"/>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Alexandra Chiriac" w:date="2018-01-06T17:55:00Z" w:initials="AC">
    <w:p w14:paraId="57565EDE" w14:textId="35588B9E" w:rsidR="00CC28F1" w:rsidRDefault="00CC28F1">
      <w:pPr>
        <w:pStyle w:val="CommentText"/>
      </w:pPr>
      <w:r>
        <w:rPr>
          <w:rStyle w:val="CommentReference"/>
        </w:rPr>
        <w:annotationRef/>
      </w:r>
      <w:r>
        <w:t xml:space="preserve">Source: </w:t>
      </w:r>
      <w:r w:rsidRPr="00936447">
        <w:t>https://www.aberdeenshire.gov.uk/environment/built-heritage/public-art/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565ED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962AA" w14:textId="77777777" w:rsidR="008C58EE" w:rsidRDefault="008C58EE" w:rsidP="00640319">
      <w:r>
        <w:separator/>
      </w:r>
    </w:p>
  </w:endnote>
  <w:endnote w:type="continuationSeparator" w:id="0">
    <w:p w14:paraId="4D35C3A3" w14:textId="77777777" w:rsidR="008C58EE" w:rsidRDefault="008C58EE" w:rsidP="0064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768DA" w14:textId="77777777" w:rsidR="00CC28F1" w:rsidRDefault="00CC28F1" w:rsidP="00CC28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339A6" w14:textId="77777777" w:rsidR="00CC28F1" w:rsidRDefault="00CC28F1" w:rsidP="006403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9631D" w14:textId="77777777" w:rsidR="00CC28F1" w:rsidRDefault="00CC28F1" w:rsidP="00640319">
    <w:pPr>
      <w:pStyle w:val="Footer"/>
      <w:ind w:right="360"/>
      <w:rPr>
        <w:rStyle w:val="PageNumber"/>
      </w:rPr>
    </w:pPr>
  </w:p>
  <w:p w14:paraId="7065066F" w14:textId="77777777" w:rsidR="00CC28F1" w:rsidRDefault="00CC28F1" w:rsidP="0064031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062BF" w14:textId="77777777" w:rsidR="00CC28F1" w:rsidRDefault="00CC28F1" w:rsidP="006E2226">
    <w:pPr>
      <w:pStyle w:val="Footer"/>
      <w:framePr w:wrap="none" w:vAnchor="text" w:hAnchor="page" w:x="10162" w:y="31"/>
      <w:rPr>
        <w:rStyle w:val="PageNumber"/>
      </w:rPr>
    </w:pPr>
    <w:r>
      <w:rPr>
        <w:rStyle w:val="PageNumber"/>
      </w:rPr>
      <w:fldChar w:fldCharType="begin"/>
    </w:r>
    <w:r>
      <w:rPr>
        <w:rStyle w:val="PageNumber"/>
      </w:rPr>
      <w:instrText xml:space="preserve">PAGE  </w:instrText>
    </w:r>
    <w:r>
      <w:rPr>
        <w:rStyle w:val="PageNumber"/>
      </w:rPr>
      <w:fldChar w:fldCharType="separate"/>
    </w:r>
    <w:r w:rsidR="00721305">
      <w:rPr>
        <w:rStyle w:val="PageNumber"/>
        <w:noProof/>
      </w:rPr>
      <w:t>1</w:t>
    </w:r>
    <w:r>
      <w:rPr>
        <w:rStyle w:val="PageNumber"/>
      </w:rPr>
      <w:fldChar w:fldCharType="end"/>
    </w:r>
  </w:p>
  <w:p w14:paraId="65790FEE" w14:textId="77777777" w:rsidR="00CC28F1" w:rsidRDefault="00CC28F1" w:rsidP="0064031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DB57C" w14:textId="77777777" w:rsidR="008C58EE" w:rsidRDefault="008C58EE" w:rsidP="00640319">
      <w:r>
        <w:separator/>
      </w:r>
    </w:p>
  </w:footnote>
  <w:footnote w:type="continuationSeparator" w:id="0">
    <w:p w14:paraId="566254F6" w14:textId="77777777" w:rsidR="008C58EE" w:rsidRDefault="008C58EE" w:rsidP="006403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02CFC"/>
    <w:multiLevelType w:val="hybridMultilevel"/>
    <w:tmpl w:val="F66AF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403E4E"/>
    <w:multiLevelType w:val="hybridMultilevel"/>
    <w:tmpl w:val="0024C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2056AF"/>
    <w:multiLevelType w:val="hybridMultilevel"/>
    <w:tmpl w:val="710E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87F00"/>
    <w:multiLevelType w:val="hybridMultilevel"/>
    <w:tmpl w:val="BDA4D5CC"/>
    <w:lvl w:ilvl="0" w:tplc="AA32EB9E">
      <w:start w:val="1"/>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285C96"/>
    <w:multiLevelType w:val="hybridMultilevel"/>
    <w:tmpl w:val="3B3AA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F160CD5"/>
    <w:multiLevelType w:val="hybridMultilevel"/>
    <w:tmpl w:val="D588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11AE5"/>
    <w:multiLevelType w:val="hybridMultilevel"/>
    <w:tmpl w:val="024EB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D2A39A7"/>
    <w:multiLevelType w:val="hybridMultilevel"/>
    <w:tmpl w:val="F0C0B972"/>
    <w:lvl w:ilvl="0" w:tplc="8ECEFEC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306296"/>
    <w:multiLevelType w:val="hybridMultilevel"/>
    <w:tmpl w:val="9BBA9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47457C"/>
    <w:multiLevelType w:val="hybridMultilevel"/>
    <w:tmpl w:val="EA24026C"/>
    <w:lvl w:ilvl="0" w:tplc="4120BF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AE6E75"/>
    <w:multiLevelType w:val="hybridMultilevel"/>
    <w:tmpl w:val="8DA45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F24D9A"/>
    <w:multiLevelType w:val="hybridMultilevel"/>
    <w:tmpl w:val="B6881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A4236C7"/>
    <w:multiLevelType w:val="hybridMultilevel"/>
    <w:tmpl w:val="131A1496"/>
    <w:lvl w:ilvl="0" w:tplc="DBDAB8C0">
      <w:start w:val="1"/>
      <w:numFmt w:val="bullet"/>
      <w:pStyle w:val="ListParaBiblio"/>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B51A3C"/>
    <w:multiLevelType w:val="hybridMultilevel"/>
    <w:tmpl w:val="4F82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286306"/>
    <w:multiLevelType w:val="multilevel"/>
    <w:tmpl w:val="564CF2B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7F925851"/>
    <w:multiLevelType w:val="hybridMultilevel"/>
    <w:tmpl w:val="EAB4A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1"/>
  </w:num>
  <w:num w:numId="4">
    <w:abstractNumId w:val="0"/>
  </w:num>
  <w:num w:numId="5">
    <w:abstractNumId w:val="4"/>
  </w:num>
  <w:num w:numId="6">
    <w:abstractNumId w:val="15"/>
  </w:num>
  <w:num w:numId="7">
    <w:abstractNumId w:val="9"/>
  </w:num>
  <w:num w:numId="8">
    <w:abstractNumId w:val="3"/>
  </w:num>
  <w:num w:numId="9">
    <w:abstractNumId w:val="6"/>
  </w:num>
  <w:num w:numId="10">
    <w:abstractNumId w:val="14"/>
  </w:num>
  <w:num w:numId="11">
    <w:abstractNumId w:val="10"/>
  </w:num>
  <w:num w:numId="12">
    <w:abstractNumId w:val="12"/>
  </w:num>
  <w:num w:numId="13">
    <w:abstractNumId w:val="1"/>
  </w:num>
  <w:num w:numId="14">
    <w:abstractNumId w:val="5"/>
  </w:num>
  <w:num w:numId="15">
    <w:abstractNumId w:val="7"/>
  </w:num>
  <w:num w:numId="16">
    <w:abstractNumId w:val="2"/>
  </w:num>
  <w:num w:numId="17">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a Chiriac">
    <w15:presenceInfo w15:providerId="None" w15:userId="Alexandra Chiri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8D"/>
    <w:rsid w:val="00001E61"/>
    <w:rsid w:val="00010918"/>
    <w:rsid w:val="00012672"/>
    <w:rsid w:val="0001439F"/>
    <w:rsid w:val="00015B0A"/>
    <w:rsid w:val="000178EE"/>
    <w:rsid w:val="00020FB5"/>
    <w:rsid w:val="000278C3"/>
    <w:rsid w:val="00030120"/>
    <w:rsid w:val="00036309"/>
    <w:rsid w:val="00036E34"/>
    <w:rsid w:val="0003767D"/>
    <w:rsid w:val="0004101D"/>
    <w:rsid w:val="000429D1"/>
    <w:rsid w:val="00045372"/>
    <w:rsid w:val="00052674"/>
    <w:rsid w:val="00063CEB"/>
    <w:rsid w:val="000658A5"/>
    <w:rsid w:val="00066C23"/>
    <w:rsid w:val="00067D9E"/>
    <w:rsid w:val="00067DAE"/>
    <w:rsid w:val="00071061"/>
    <w:rsid w:val="00074184"/>
    <w:rsid w:val="00076E3C"/>
    <w:rsid w:val="00077A05"/>
    <w:rsid w:val="0008077B"/>
    <w:rsid w:val="00080DF0"/>
    <w:rsid w:val="00080DFF"/>
    <w:rsid w:val="00082E7F"/>
    <w:rsid w:val="0009107F"/>
    <w:rsid w:val="00091414"/>
    <w:rsid w:val="00094CDB"/>
    <w:rsid w:val="00095A34"/>
    <w:rsid w:val="000A319A"/>
    <w:rsid w:val="000A6F38"/>
    <w:rsid w:val="000A71AB"/>
    <w:rsid w:val="000B0E9B"/>
    <w:rsid w:val="000B2F5F"/>
    <w:rsid w:val="000B76DA"/>
    <w:rsid w:val="000C1F83"/>
    <w:rsid w:val="000D1A64"/>
    <w:rsid w:val="000D6545"/>
    <w:rsid w:val="000D761F"/>
    <w:rsid w:val="000E1532"/>
    <w:rsid w:val="000E1C70"/>
    <w:rsid w:val="000E1D9B"/>
    <w:rsid w:val="000E248D"/>
    <w:rsid w:val="000E2912"/>
    <w:rsid w:val="000E41D9"/>
    <w:rsid w:val="000F1448"/>
    <w:rsid w:val="000F1547"/>
    <w:rsid w:val="000F4103"/>
    <w:rsid w:val="000F42C3"/>
    <w:rsid w:val="000F743D"/>
    <w:rsid w:val="000F7BFC"/>
    <w:rsid w:val="00100B2A"/>
    <w:rsid w:val="00102F2F"/>
    <w:rsid w:val="00104234"/>
    <w:rsid w:val="0010482A"/>
    <w:rsid w:val="0010513F"/>
    <w:rsid w:val="00105CB6"/>
    <w:rsid w:val="00106BC8"/>
    <w:rsid w:val="00107056"/>
    <w:rsid w:val="00111F34"/>
    <w:rsid w:val="00112E5C"/>
    <w:rsid w:val="00112F8F"/>
    <w:rsid w:val="00120F9F"/>
    <w:rsid w:val="00121E14"/>
    <w:rsid w:val="00121E19"/>
    <w:rsid w:val="0013082B"/>
    <w:rsid w:val="00132976"/>
    <w:rsid w:val="001336C8"/>
    <w:rsid w:val="00133C8E"/>
    <w:rsid w:val="0013640C"/>
    <w:rsid w:val="00143B87"/>
    <w:rsid w:val="0014432D"/>
    <w:rsid w:val="00144413"/>
    <w:rsid w:val="00146E6C"/>
    <w:rsid w:val="00152D21"/>
    <w:rsid w:val="00153D36"/>
    <w:rsid w:val="001552A9"/>
    <w:rsid w:val="001568CB"/>
    <w:rsid w:val="00156B1B"/>
    <w:rsid w:val="00157096"/>
    <w:rsid w:val="00160681"/>
    <w:rsid w:val="0016346F"/>
    <w:rsid w:val="00164937"/>
    <w:rsid w:val="00173C92"/>
    <w:rsid w:val="00183D3F"/>
    <w:rsid w:val="00191712"/>
    <w:rsid w:val="00192CCC"/>
    <w:rsid w:val="00196A11"/>
    <w:rsid w:val="001A19FF"/>
    <w:rsid w:val="001B378E"/>
    <w:rsid w:val="001B3B7D"/>
    <w:rsid w:val="001B46B6"/>
    <w:rsid w:val="001B7B08"/>
    <w:rsid w:val="001B7B36"/>
    <w:rsid w:val="001C4D94"/>
    <w:rsid w:val="001C5BBE"/>
    <w:rsid w:val="001D15C4"/>
    <w:rsid w:val="001D30CB"/>
    <w:rsid w:val="001D3A3F"/>
    <w:rsid w:val="001D3C60"/>
    <w:rsid w:val="001D45F2"/>
    <w:rsid w:val="001D4C27"/>
    <w:rsid w:val="001D4C96"/>
    <w:rsid w:val="001D6756"/>
    <w:rsid w:val="001D6E6F"/>
    <w:rsid w:val="001E59EB"/>
    <w:rsid w:val="001E5A4E"/>
    <w:rsid w:val="001E7C6A"/>
    <w:rsid w:val="001F0020"/>
    <w:rsid w:val="001F0415"/>
    <w:rsid w:val="001F09C8"/>
    <w:rsid w:val="001F2DDF"/>
    <w:rsid w:val="001F4397"/>
    <w:rsid w:val="001F5A3C"/>
    <w:rsid w:val="002004A8"/>
    <w:rsid w:val="002008DA"/>
    <w:rsid w:val="0020698D"/>
    <w:rsid w:val="00210B89"/>
    <w:rsid w:val="0021135B"/>
    <w:rsid w:val="00212B7D"/>
    <w:rsid w:val="002144A1"/>
    <w:rsid w:val="00216D9D"/>
    <w:rsid w:val="00220EA5"/>
    <w:rsid w:val="00221BF0"/>
    <w:rsid w:val="00224283"/>
    <w:rsid w:val="00225FD7"/>
    <w:rsid w:val="00231840"/>
    <w:rsid w:val="00233B12"/>
    <w:rsid w:val="002343DB"/>
    <w:rsid w:val="0023652A"/>
    <w:rsid w:val="00240513"/>
    <w:rsid w:val="00240DB2"/>
    <w:rsid w:val="00241A86"/>
    <w:rsid w:val="00242E02"/>
    <w:rsid w:val="00243E24"/>
    <w:rsid w:val="0024569F"/>
    <w:rsid w:val="002479D4"/>
    <w:rsid w:val="0025019D"/>
    <w:rsid w:val="00251D2E"/>
    <w:rsid w:val="00260677"/>
    <w:rsid w:val="002630C0"/>
    <w:rsid w:val="00263E8C"/>
    <w:rsid w:val="002643A0"/>
    <w:rsid w:val="0026491F"/>
    <w:rsid w:val="00275061"/>
    <w:rsid w:val="00277F54"/>
    <w:rsid w:val="002808CF"/>
    <w:rsid w:val="002812ED"/>
    <w:rsid w:val="00285A5D"/>
    <w:rsid w:val="00285B4B"/>
    <w:rsid w:val="002920DF"/>
    <w:rsid w:val="002921B1"/>
    <w:rsid w:val="002936BE"/>
    <w:rsid w:val="0029457F"/>
    <w:rsid w:val="00294E27"/>
    <w:rsid w:val="00295865"/>
    <w:rsid w:val="002967E4"/>
    <w:rsid w:val="002A4DC4"/>
    <w:rsid w:val="002B01CD"/>
    <w:rsid w:val="002B2863"/>
    <w:rsid w:val="002B3E0D"/>
    <w:rsid w:val="002B482E"/>
    <w:rsid w:val="002B4F6F"/>
    <w:rsid w:val="002B64FC"/>
    <w:rsid w:val="002C186D"/>
    <w:rsid w:val="002C2A12"/>
    <w:rsid w:val="002C3651"/>
    <w:rsid w:val="002C60DF"/>
    <w:rsid w:val="002D0640"/>
    <w:rsid w:val="002D1914"/>
    <w:rsid w:val="002D22F9"/>
    <w:rsid w:val="002D2495"/>
    <w:rsid w:val="002D3DC4"/>
    <w:rsid w:val="002D50BA"/>
    <w:rsid w:val="002D5A26"/>
    <w:rsid w:val="002D6A46"/>
    <w:rsid w:val="002E2230"/>
    <w:rsid w:val="002E64E1"/>
    <w:rsid w:val="002E72B8"/>
    <w:rsid w:val="002E72E2"/>
    <w:rsid w:val="002E79EC"/>
    <w:rsid w:val="002F0207"/>
    <w:rsid w:val="002F1148"/>
    <w:rsid w:val="002F1312"/>
    <w:rsid w:val="002F251D"/>
    <w:rsid w:val="002F2B5E"/>
    <w:rsid w:val="002F2B82"/>
    <w:rsid w:val="002F3411"/>
    <w:rsid w:val="002F5E55"/>
    <w:rsid w:val="00301C75"/>
    <w:rsid w:val="00301F7C"/>
    <w:rsid w:val="003020DE"/>
    <w:rsid w:val="00303D8E"/>
    <w:rsid w:val="0030481D"/>
    <w:rsid w:val="003068BA"/>
    <w:rsid w:val="003139ED"/>
    <w:rsid w:val="003148A4"/>
    <w:rsid w:val="00315F93"/>
    <w:rsid w:val="003206FD"/>
    <w:rsid w:val="0032122A"/>
    <w:rsid w:val="00322339"/>
    <w:rsid w:val="00323FE1"/>
    <w:rsid w:val="0032497B"/>
    <w:rsid w:val="00324B78"/>
    <w:rsid w:val="003251E8"/>
    <w:rsid w:val="00325FDC"/>
    <w:rsid w:val="00327279"/>
    <w:rsid w:val="00327623"/>
    <w:rsid w:val="00327CFB"/>
    <w:rsid w:val="0033047F"/>
    <w:rsid w:val="0033368E"/>
    <w:rsid w:val="00333E6F"/>
    <w:rsid w:val="003373CA"/>
    <w:rsid w:val="00340921"/>
    <w:rsid w:val="00342618"/>
    <w:rsid w:val="003441EB"/>
    <w:rsid w:val="00345268"/>
    <w:rsid w:val="003461F9"/>
    <w:rsid w:val="00351CA9"/>
    <w:rsid w:val="00351DA0"/>
    <w:rsid w:val="00351F8B"/>
    <w:rsid w:val="0035314D"/>
    <w:rsid w:val="00354772"/>
    <w:rsid w:val="00355DD0"/>
    <w:rsid w:val="0035663E"/>
    <w:rsid w:val="00360333"/>
    <w:rsid w:val="00362625"/>
    <w:rsid w:val="003730D7"/>
    <w:rsid w:val="0037759A"/>
    <w:rsid w:val="00390270"/>
    <w:rsid w:val="00390D1E"/>
    <w:rsid w:val="00390E58"/>
    <w:rsid w:val="00391BF5"/>
    <w:rsid w:val="00392183"/>
    <w:rsid w:val="003929A0"/>
    <w:rsid w:val="0039580B"/>
    <w:rsid w:val="00397579"/>
    <w:rsid w:val="003978CD"/>
    <w:rsid w:val="003A229B"/>
    <w:rsid w:val="003A309C"/>
    <w:rsid w:val="003A68E1"/>
    <w:rsid w:val="003A6C50"/>
    <w:rsid w:val="003A6E7B"/>
    <w:rsid w:val="003B5477"/>
    <w:rsid w:val="003B6A72"/>
    <w:rsid w:val="003C06E2"/>
    <w:rsid w:val="003C13D3"/>
    <w:rsid w:val="003C34DF"/>
    <w:rsid w:val="003D0385"/>
    <w:rsid w:val="003D0ECB"/>
    <w:rsid w:val="003D2194"/>
    <w:rsid w:val="003D2A25"/>
    <w:rsid w:val="003D3405"/>
    <w:rsid w:val="003D705C"/>
    <w:rsid w:val="003D7762"/>
    <w:rsid w:val="003D7DF9"/>
    <w:rsid w:val="003D7F96"/>
    <w:rsid w:val="003E2501"/>
    <w:rsid w:val="003E430B"/>
    <w:rsid w:val="003E463F"/>
    <w:rsid w:val="003F01A4"/>
    <w:rsid w:val="003F4285"/>
    <w:rsid w:val="003F6997"/>
    <w:rsid w:val="003F7F7F"/>
    <w:rsid w:val="00403AAC"/>
    <w:rsid w:val="0040466F"/>
    <w:rsid w:val="0041765D"/>
    <w:rsid w:val="004232CB"/>
    <w:rsid w:val="004247CD"/>
    <w:rsid w:val="00425E06"/>
    <w:rsid w:val="0042758D"/>
    <w:rsid w:val="00435040"/>
    <w:rsid w:val="0043615C"/>
    <w:rsid w:val="004437F5"/>
    <w:rsid w:val="00445EA4"/>
    <w:rsid w:val="004467E2"/>
    <w:rsid w:val="00447034"/>
    <w:rsid w:val="00450F55"/>
    <w:rsid w:val="00453690"/>
    <w:rsid w:val="004561D2"/>
    <w:rsid w:val="00456BFD"/>
    <w:rsid w:val="00457790"/>
    <w:rsid w:val="00460A85"/>
    <w:rsid w:val="00460C36"/>
    <w:rsid w:val="004613BB"/>
    <w:rsid w:val="00461C3C"/>
    <w:rsid w:val="00461D15"/>
    <w:rsid w:val="0046693A"/>
    <w:rsid w:val="00467118"/>
    <w:rsid w:val="0046736B"/>
    <w:rsid w:val="00473363"/>
    <w:rsid w:val="00474390"/>
    <w:rsid w:val="004752B7"/>
    <w:rsid w:val="00475BC3"/>
    <w:rsid w:val="00476763"/>
    <w:rsid w:val="00483125"/>
    <w:rsid w:val="00483179"/>
    <w:rsid w:val="00485AF7"/>
    <w:rsid w:val="00487714"/>
    <w:rsid w:val="00490642"/>
    <w:rsid w:val="00490A15"/>
    <w:rsid w:val="00496292"/>
    <w:rsid w:val="004962DC"/>
    <w:rsid w:val="00496827"/>
    <w:rsid w:val="004A145D"/>
    <w:rsid w:val="004A2683"/>
    <w:rsid w:val="004A3E80"/>
    <w:rsid w:val="004B442E"/>
    <w:rsid w:val="004B5233"/>
    <w:rsid w:val="004C6453"/>
    <w:rsid w:val="004D1040"/>
    <w:rsid w:val="004E0452"/>
    <w:rsid w:val="004E252F"/>
    <w:rsid w:val="004E5010"/>
    <w:rsid w:val="004F1631"/>
    <w:rsid w:val="004F1EBD"/>
    <w:rsid w:val="004F5352"/>
    <w:rsid w:val="004F6753"/>
    <w:rsid w:val="004F7155"/>
    <w:rsid w:val="0050515E"/>
    <w:rsid w:val="00511607"/>
    <w:rsid w:val="00512800"/>
    <w:rsid w:val="005130DC"/>
    <w:rsid w:val="0051420D"/>
    <w:rsid w:val="00516C3E"/>
    <w:rsid w:val="00516F9E"/>
    <w:rsid w:val="00526F11"/>
    <w:rsid w:val="0053362A"/>
    <w:rsid w:val="0053425A"/>
    <w:rsid w:val="00535BEC"/>
    <w:rsid w:val="005449CE"/>
    <w:rsid w:val="00546AFC"/>
    <w:rsid w:val="00551664"/>
    <w:rsid w:val="00554F59"/>
    <w:rsid w:val="00560BCD"/>
    <w:rsid w:val="00562BF9"/>
    <w:rsid w:val="00563704"/>
    <w:rsid w:val="005656AC"/>
    <w:rsid w:val="005717B5"/>
    <w:rsid w:val="00574502"/>
    <w:rsid w:val="0057678A"/>
    <w:rsid w:val="0058152A"/>
    <w:rsid w:val="00581AB0"/>
    <w:rsid w:val="00581F0D"/>
    <w:rsid w:val="005823B0"/>
    <w:rsid w:val="005835E3"/>
    <w:rsid w:val="005856DC"/>
    <w:rsid w:val="00592DE9"/>
    <w:rsid w:val="00593EFC"/>
    <w:rsid w:val="005949FB"/>
    <w:rsid w:val="005A01D1"/>
    <w:rsid w:val="005A0847"/>
    <w:rsid w:val="005A3152"/>
    <w:rsid w:val="005A37EE"/>
    <w:rsid w:val="005A5582"/>
    <w:rsid w:val="005A7766"/>
    <w:rsid w:val="005B09C7"/>
    <w:rsid w:val="005B1DAB"/>
    <w:rsid w:val="005B2223"/>
    <w:rsid w:val="005C033C"/>
    <w:rsid w:val="005C0D35"/>
    <w:rsid w:val="005C18FC"/>
    <w:rsid w:val="005C3AB1"/>
    <w:rsid w:val="005C3B1D"/>
    <w:rsid w:val="005D24F7"/>
    <w:rsid w:val="005D56B3"/>
    <w:rsid w:val="005E1101"/>
    <w:rsid w:val="005E2985"/>
    <w:rsid w:val="005E2A26"/>
    <w:rsid w:val="005E30D4"/>
    <w:rsid w:val="005E4D1A"/>
    <w:rsid w:val="005E75EC"/>
    <w:rsid w:val="005F4BAB"/>
    <w:rsid w:val="005F7B26"/>
    <w:rsid w:val="006018F6"/>
    <w:rsid w:val="00602566"/>
    <w:rsid w:val="006030F7"/>
    <w:rsid w:val="00605330"/>
    <w:rsid w:val="00606F32"/>
    <w:rsid w:val="006070A0"/>
    <w:rsid w:val="00607811"/>
    <w:rsid w:val="00611138"/>
    <w:rsid w:val="00612718"/>
    <w:rsid w:val="006135A7"/>
    <w:rsid w:val="00613DA0"/>
    <w:rsid w:val="0061589E"/>
    <w:rsid w:val="00615CFE"/>
    <w:rsid w:val="00616A54"/>
    <w:rsid w:val="00624D46"/>
    <w:rsid w:val="0063147D"/>
    <w:rsid w:val="006319C0"/>
    <w:rsid w:val="00637261"/>
    <w:rsid w:val="0064006D"/>
    <w:rsid w:val="00640319"/>
    <w:rsid w:val="00642A48"/>
    <w:rsid w:val="006451A3"/>
    <w:rsid w:val="00645E8F"/>
    <w:rsid w:val="006504CF"/>
    <w:rsid w:val="00657893"/>
    <w:rsid w:val="00657EFF"/>
    <w:rsid w:val="0066025B"/>
    <w:rsid w:val="0066051E"/>
    <w:rsid w:val="006630B2"/>
    <w:rsid w:val="006636D5"/>
    <w:rsid w:val="00667E56"/>
    <w:rsid w:val="00672754"/>
    <w:rsid w:val="006731BF"/>
    <w:rsid w:val="0067479E"/>
    <w:rsid w:val="00674ECE"/>
    <w:rsid w:val="0067613A"/>
    <w:rsid w:val="00682A33"/>
    <w:rsid w:val="0068484E"/>
    <w:rsid w:val="0068493F"/>
    <w:rsid w:val="0068632C"/>
    <w:rsid w:val="00687815"/>
    <w:rsid w:val="00691D89"/>
    <w:rsid w:val="00693CDF"/>
    <w:rsid w:val="00695E28"/>
    <w:rsid w:val="006A1330"/>
    <w:rsid w:val="006A2EB9"/>
    <w:rsid w:val="006A383A"/>
    <w:rsid w:val="006A72F3"/>
    <w:rsid w:val="006A7454"/>
    <w:rsid w:val="006B2864"/>
    <w:rsid w:val="006B409A"/>
    <w:rsid w:val="006B4614"/>
    <w:rsid w:val="006B4E38"/>
    <w:rsid w:val="006B5B9E"/>
    <w:rsid w:val="006C0E68"/>
    <w:rsid w:val="006C1C56"/>
    <w:rsid w:val="006C4BA8"/>
    <w:rsid w:val="006D32E8"/>
    <w:rsid w:val="006E03F1"/>
    <w:rsid w:val="006E2226"/>
    <w:rsid w:val="006E2E36"/>
    <w:rsid w:val="006E6E78"/>
    <w:rsid w:val="006E78BC"/>
    <w:rsid w:val="006F0B4C"/>
    <w:rsid w:val="006F291C"/>
    <w:rsid w:val="006F31F2"/>
    <w:rsid w:val="0070008F"/>
    <w:rsid w:val="00700488"/>
    <w:rsid w:val="0070549E"/>
    <w:rsid w:val="007069CB"/>
    <w:rsid w:val="0070772F"/>
    <w:rsid w:val="00714296"/>
    <w:rsid w:val="007149C0"/>
    <w:rsid w:val="00714E99"/>
    <w:rsid w:val="007150E0"/>
    <w:rsid w:val="00716F0C"/>
    <w:rsid w:val="00720911"/>
    <w:rsid w:val="00720B77"/>
    <w:rsid w:val="00721305"/>
    <w:rsid w:val="00722B6F"/>
    <w:rsid w:val="00724654"/>
    <w:rsid w:val="007248C7"/>
    <w:rsid w:val="0072586D"/>
    <w:rsid w:val="007339A3"/>
    <w:rsid w:val="00733EF4"/>
    <w:rsid w:val="00734E25"/>
    <w:rsid w:val="00740E5F"/>
    <w:rsid w:val="00741CD4"/>
    <w:rsid w:val="00742E2C"/>
    <w:rsid w:val="00743913"/>
    <w:rsid w:val="00743C95"/>
    <w:rsid w:val="007445A3"/>
    <w:rsid w:val="00746520"/>
    <w:rsid w:val="00747080"/>
    <w:rsid w:val="0075173A"/>
    <w:rsid w:val="0075352E"/>
    <w:rsid w:val="007535AB"/>
    <w:rsid w:val="0076095D"/>
    <w:rsid w:val="0076114A"/>
    <w:rsid w:val="00761FED"/>
    <w:rsid w:val="00763F8C"/>
    <w:rsid w:val="00764373"/>
    <w:rsid w:val="00766793"/>
    <w:rsid w:val="007674D2"/>
    <w:rsid w:val="007676B6"/>
    <w:rsid w:val="00770E76"/>
    <w:rsid w:val="00770F61"/>
    <w:rsid w:val="0077172E"/>
    <w:rsid w:val="0077300C"/>
    <w:rsid w:val="00774863"/>
    <w:rsid w:val="00776911"/>
    <w:rsid w:val="0077775B"/>
    <w:rsid w:val="00780716"/>
    <w:rsid w:val="00782391"/>
    <w:rsid w:val="00783359"/>
    <w:rsid w:val="00783E44"/>
    <w:rsid w:val="007875C7"/>
    <w:rsid w:val="0079041F"/>
    <w:rsid w:val="0079341C"/>
    <w:rsid w:val="00796E7A"/>
    <w:rsid w:val="007A00D4"/>
    <w:rsid w:val="007A50CA"/>
    <w:rsid w:val="007A623F"/>
    <w:rsid w:val="007A72BC"/>
    <w:rsid w:val="007B196E"/>
    <w:rsid w:val="007B4FF5"/>
    <w:rsid w:val="007B50EB"/>
    <w:rsid w:val="007B5DBC"/>
    <w:rsid w:val="007C06AC"/>
    <w:rsid w:val="007C18ED"/>
    <w:rsid w:val="007C1F67"/>
    <w:rsid w:val="007C39E9"/>
    <w:rsid w:val="007C4D58"/>
    <w:rsid w:val="007D7ADD"/>
    <w:rsid w:val="007E0FB9"/>
    <w:rsid w:val="007E3A09"/>
    <w:rsid w:val="007E4615"/>
    <w:rsid w:val="007E5920"/>
    <w:rsid w:val="007E77DF"/>
    <w:rsid w:val="007F2515"/>
    <w:rsid w:val="007F299C"/>
    <w:rsid w:val="007F2D87"/>
    <w:rsid w:val="007F569B"/>
    <w:rsid w:val="007F7C8C"/>
    <w:rsid w:val="00803E70"/>
    <w:rsid w:val="008054C8"/>
    <w:rsid w:val="00806964"/>
    <w:rsid w:val="00811433"/>
    <w:rsid w:val="008128C5"/>
    <w:rsid w:val="00814ECF"/>
    <w:rsid w:val="008161B8"/>
    <w:rsid w:val="0082182D"/>
    <w:rsid w:val="00822D1F"/>
    <w:rsid w:val="00823865"/>
    <w:rsid w:val="00824641"/>
    <w:rsid w:val="00825D9C"/>
    <w:rsid w:val="008268F7"/>
    <w:rsid w:val="00826EEC"/>
    <w:rsid w:val="008324AA"/>
    <w:rsid w:val="00834D98"/>
    <w:rsid w:val="008422C5"/>
    <w:rsid w:val="00844B61"/>
    <w:rsid w:val="008464A8"/>
    <w:rsid w:val="00846DE0"/>
    <w:rsid w:val="008477CC"/>
    <w:rsid w:val="008509C7"/>
    <w:rsid w:val="0085262A"/>
    <w:rsid w:val="008572D1"/>
    <w:rsid w:val="008574C1"/>
    <w:rsid w:val="00862027"/>
    <w:rsid w:val="00865D4D"/>
    <w:rsid w:val="008679F1"/>
    <w:rsid w:val="008717C3"/>
    <w:rsid w:val="00871CFC"/>
    <w:rsid w:val="008735BA"/>
    <w:rsid w:val="00873E2D"/>
    <w:rsid w:val="00874CE8"/>
    <w:rsid w:val="008764B3"/>
    <w:rsid w:val="0087786D"/>
    <w:rsid w:val="00882689"/>
    <w:rsid w:val="008829C9"/>
    <w:rsid w:val="0089049E"/>
    <w:rsid w:val="00893D5E"/>
    <w:rsid w:val="0089456C"/>
    <w:rsid w:val="00895DD4"/>
    <w:rsid w:val="008962F0"/>
    <w:rsid w:val="00896A80"/>
    <w:rsid w:val="008A0424"/>
    <w:rsid w:val="008A6E4B"/>
    <w:rsid w:val="008A7A16"/>
    <w:rsid w:val="008B2FB6"/>
    <w:rsid w:val="008B4D70"/>
    <w:rsid w:val="008B67DC"/>
    <w:rsid w:val="008B6C0B"/>
    <w:rsid w:val="008C2D94"/>
    <w:rsid w:val="008C58EE"/>
    <w:rsid w:val="008C5BA4"/>
    <w:rsid w:val="008C7DDF"/>
    <w:rsid w:val="008D45C4"/>
    <w:rsid w:val="008D53D0"/>
    <w:rsid w:val="008E18BB"/>
    <w:rsid w:val="008E2E31"/>
    <w:rsid w:val="008F28A9"/>
    <w:rsid w:val="008F5067"/>
    <w:rsid w:val="008F5EB6"/>
    <w:rsid w:val="008F60E5"/>
    <w:rsid w:val="00904337"/>
    <w:rsid w:val="0090606D"/>
    <w:rsid w:val="009119EC"/>
    <w:rsid w:val="00911FE6"/>
    <w:rsid w:val="0091770B"/>
    <w:rsid w:val="00926191"/>
    <w:rsid w:val="009304B6"/>
    <w:rsid w:val="009338EA"/>
    <w:rsid w:val="009341CF"/>
    <w:rsid w:val="00936447"/>
    <w:rsid w:val="00936825"/>
    <w:rsid w:val="009373C4"/>
    <w:rsid w:val="00937E75"/>
    <w:rsid w:val="00941E0D"/>
    <w:rsid w:val="00942C06"/>
    <w:rsid w:val="009450CD"/>
    <w:rsid w:val="00946228"/>
    <w:rsid w:val="0095072E"/>
    <w:rsid w:val="00956C90"/>
    <w:rsid w:val="0096241D"/>
    <w:rsid w:val="009643F3"/>
    <w:rsid w:val="0097067B"/>
    <w:rsid w:val="00973CD8"/>
    <w:rsid w:val="00976844"/>
    <w:rsid w:val="00976AB6"/>
    <w:rsid w:val="00977145"/>
    <w:rsid w:val="009772FA"/>
    <w:rsid w:val="0097746B"/>
    <w:rsid w:val="009822DD"/>
    <w:rsid w:val="00983B36"/>
    <w:rsid w:val="0099212E"/>
    <w:rsid w:val="0099478A"/>
    <w:rsid w:val="009A03DE"/>
    <w:rsid w:val="009A04B9"/>
    <w:rsid w:val="009A051E"/>
    <w:rsid w:val="009A6FC1"/>
    <w:rsid w:val="009B0CA2"/>
    <w:rsid w:val="009B147A"/>
    <w:rsid w:val="009B1E62"/>
    <w:rsid w:val="009B4F25"/>
    <w:rsid w:val="009B68DC"/>
    <w:rsid w:val="009C7F11"/>
    <w:rsid w:val="009D3947"/>
    <w:rsid w:val="009D42BA"/>
    <w:rsid w:val="009D4914"/>
    <w:rsid w:val="009D69A9"/>
    <w:rsid w:val="009D7617"/>
    <w:rsid w:val="009E1A8C"/>
    <w:rsid w:val="009E2A22"/>
    <w:rsid w:val="009E479A"/>
    <w:rsid w:val="009E5E3C"/>
    <w:rsid w:val="009F6BB7"/>
    <w:rsid w:val="009F6CE0"/>
    <w:rsid w:val="009F6F69"/>
    <w:rsid w:val="009F7786"/>
    <w:rsid w:val="00A05942"/>
    <w:rsid w:val="00A10F18"/>
    <w:rsid w:val="00A14B9A"/>
    <w:rsid w:val="00A15193"/>
    <w:rsid w:val="00A202A8"/>
    <w:rsid w:val="00A232EA"/>
    <w:rsid w:val="00A2357B"/>
    <w:rsid w:val="00A2678F"/>
    <w:rsid w:val="00A26896"/>
    <w:rsid w:val="00A32517"/>
    <w:rsid w:val="00A3769E"/>
    <w:rsid w:val="00A5185F"/>
    <w:rsid w:val="00A56959"/>
    <w:rsid w:val="00A618DE"/>
    <w:rsid w:val="00A62B5A"/>
    <w:rsid w:val="00A63B4B"/>
    <w:rsid w:val="00A64490"/>
    <w:rsid w:val="00A70487"/>
    <w:rsid w:val="00A70ECE"/>
    <w:rsid w:val="00A71BC2"/>
    <w:rsid w:val="00A72339"/>
    <w:rsid w:val="00A7251D"/>
    <w:rsid w:val="00A743C1"/>
    <w:rsid w:val="00A74528"/>
    <w:rsid w:val="00A75AC5"/>
    <w:rsid w:val="00A76A17"/>
    <w:rsid w:val="00A772DE"/>
    <w:rsid w:val="00A80716"/>
    <w:rsid w:val="00A815FB"/>
    <w:rsid w:val="00A8199A"/>
    <w:rsid w:val="00A865B3"/>
    <w:rsid w:val="00A9076A"/>
    <w:rsid w:val="00A91A67"/>
    <w:rsid w:val="00A92F5C"/>
    <w:rsid w:val="00AA5DA7"/>
    <w:rsid w:val="00AA67E1"/>
    <w:rsid w:val="00AA75E6"/>
    <w:rsid w:val="00AB177A"/>
    <w:rsid w:val="00AB50C3"/>
    <w:rsid w:val="00AC02E3"/>
    <w:rsid w:val="00AC04DF"/>
    <w:rsid w:val="00AC2A1D"/>
    <w:rsid w:val="00AC65D2"/>
    <w:rsid w:val="00AC75D9"/>
    <w:rsid w:val="00AD068D"/>
    <w:rsid w:val="00AD30C3"/>
    <w:rsid w:val="00AD4196"/>
    <w:rsid w:val="00AD532D"/>
    <w:rsid w:val="00AD6DBE"/>
    <w:rsid w:val="00AE290B"/>
    <w:rsid w:val="00AE447F"/>
    <w:rsid w:val="00AE4860"/>
    <w:rsid w:val="00B0028B"/>
    <w:rsid w:val="00B01C5D"/>
    <w:rsid w:val="00B03497"/>
    <w:rsid w:val="00B04CFF"/>
    <w:rsid w:val="00B06517"/>
    <w:rsid w:val="00B10644"/>
    <w:rsid w:val="00B1083D"/>
    <w:rsid w:val="00B10CE5"/>
    <w:rsid w:val="00B14164"/>
    <w:rsid w:val="00B14265"/>
    <w:rsid w:val="00B22682"/>
    <w:rsid w:val="00B31B98"/>
    <w:rsid w:val="00B325DF"/>
    <w:rsid w:val="00B331D6"/>
    <w:rsid w:val="00B43A50"/>
    <w:rsid w:val="00B45469"/>
    <w:rsid w:val="00B45B81"/>
    <w:rsid w:val="00B4611E"/>
    <w:rsid w:val="00B46D5B"/>
    <w:rsid w:val="00B512D5"/>
    <w:rsid w:val="00B52094"/>
    <w:rsid w:val="00B63006"/>
    <w:rsid w:val="00B6517C"/>
    <w:rsid w:val="00B6585D"/>
    <w:rsid w:val="00B670D7"/>
    <w:rsid w:val="00B67337"/>
    <w:rsid w:val="00B67C33"/>
    <w:rsid w:val="00B77162"/>
    <w:rsid w:val="00B81057"/>
    <w:rsid w:val="00B812B7"/>
    <w:rsid w:val="00B83001"/>
    <w:rsid w:val="00B8522D"/>
    <w:rsid w:val="00B85277"/>
    <w:rsid w:val="00B8628F"/>
    <w:rsid w:val="00B87656"/>
    <w:rsid w:val="00B96C72"/>
    <w:rsid w:val="00BA2A6B"/>
    <w:rsid w:val="00BA7EDF"/>
    <w:rsid w:val="00BB0688"/>
    <w:rsid w:val="00BB24C0"/>
    <w:rsid w:val="00BB39C4"/>
    <w:rsid w:val="00BC0BFA"/>
    <w:rsid w:val="00BC28EC"/>
    <w:rsid w:val="00BC403E"/>
    <w:rsid w:val="00BC5A91"/>
    <w:rsid w:val="00BC636D"/>
    <w:rsid w:val="00BC7C26"/>
    <w:rsid w:val="00BD1200"/>
    <w:rsid w:val="00BD1CA4"/>
    <w:rsid w:val="00BE3E72"/>
    <w:rsid w:val="00BE41A6"/>
    <w:rsid w:val="00BE41B9"/>
    <w:rsid w:val="00BE430A"/>
    <w:rsid w:val="00BE490E"/>
    <w:rsid w:val="00BE4C1C"/>
    <w:rsid w:val="00BE5996"/>
    <w:rsid w:val="00BF3DCD"/>
    <w:rsid w:val="00BF40AA"/>
    <w:rsid w:val="00BF4856"/>
    <w:rsid w:val="00BF5149"/>
    <w:rsid w:val="00BF587B"/>
    <w:rsid w:val="00BF6FC3"/>
    <w:rsid w:val="00BF7FCB"/>
    <w:rsid w:val="00C03205"/>
    <w:rsid w:val="00C04C2D"/>
    <w:rsid w:val="00C052D4"/>
    <w:rsid w:val="00C05CB8"/>
    <w:rsid w:val="00C05F11"/>
    <w:rsid w:val="00C065EB"/>
    <w:rsid w:val="00C067AF"/>
    <w:rsid w:val="00C07CBD"/>
    <w:rsid w:val="00C11C3D"/>
    <w:rsid w:val="00C124E8"/>
    <w:rsid w:val="00C13491"/>
    <w:rsid w:val="00C17DBE"/>
    <w:rsid w:val="00C20E5B"/>
    <w:rsid w:val="00C2121F"/>
    <w:rsid w:val="00C227FD"/>
    <w:rsid w:val="00C22D56"/>
    <w:rsid w:val="00C23E48"/>
    <w:rsid w:val="00C305F7"/>
    <w:rsid w:val="00C31956"/>
    <w:rsid w:val="00C32298"/>
    <w:rsid w:val="00C33E76"/>
    <w:rsid w:val="00C347D7"/>
    <w:rsid w:val="00C358D6"/>
    <w:rsid w:val="00C363AB"/>
    <w:rsid w:val="00C36658"/>
    <w:rsid w:val="00C40D2A"/>
    <w:rsid w:val="00C41FB6"/>
    <w:rsid w:val="00C44C93"/>
    <w:rsid w:val="00C45D4E"/>
    <w:rsid w:val="00C4604C"/>
    <w:rsid w:val="00C50D9C"/>
    <w:rsid w:val="00C5394F"/>
    <w:rsid w:val="00C53F52"/>
    <w:rsid w:val="00C55346"/>
    <w:rsid w:val="00C55A8D"/>
    <w:rsid w:val="00C64617"/>
    <w:rsid w:val="00C70787"/>
    <w:rsid w:val="00C70955"/>
    <w:rsid w:val="00C7201E"/>
    <w:rsid w:val="00C7413B"/>
    <w:rsid w:val="00C80D37"/>
    <w:rsid w:val="00C81678"/>
    <w:rsid w:val="00C83AD6"/>
    <w:rsid w:val="00C85924"/>
    <w:rsid w:val="00C90413"/>
    <w:rsid w:val="00C918BF"/>
    <w:rsid w:val="00C93DEE"/>
    <w:rsid w:val="00C94C3D"/>
    <w:rsid w:val="00CA1D0D"/>
    <w:rsid w:val="00CA2BE8"/>
    <w:rsid w:val="00CB0E5E"/>
    <w:rsid w:val="00CB5C51"/>
    <w:rsid w:val="00CB71D8"/>
    <w:rsid w:val="00CC02DB"/>
    <w:rsid w:val="00CC118E"/>
    <w:rsid w:val="00CC28F1"/>
    <w:rsid w:val="00CC5E95"/>
    <w:rsid w:val="00CC5F38"/>
    <w:rsid w:val="00CD31BF"/>
    <w:rsid w:val="00CD34B9"/>
    <w:rsid w:val="00CD69B4"/>
    <w:rsid w:val="00CD73E0"/>
    <w:rsid w:val="00CE0080"/>
    <w:rsid w:val="00CE68A8"/>
    <w:rsid w:val="00CF0289"/>
    <w:rsid w:val="00CF0323"/>
    <w:rsid w:val="00CF2E76"/>
    <w:rsid w:val="00CF336D"/>
    <w:rsid w:val="00CF3D31"/>
    <w:rsid w:val="00CF521A"/>
    <w:rsid w:val="00D016B0"/>
    <w:rsid w:val="00D0230F"/>
    <w:rsid w:val="00D037E3"/>
    <w:rsid w:val="00D03CDE"/>
    <w:rsid w:val="00D05663"/>
    <w:rsid w:val="00D05D75"/>
    <w:rsid w:val="00D10012"/>
    <w:rsid w:val="00D10A1B"/>
    <w:rsid w:val="00D11265"/>
    <w:rsid w:val="00D207D1"/>
    <w:rsid w:val="00D2321F"/>
    <w:rsid w:val="00D303CA"/>
    <w:rsid w:val="00D31847"/>
    <w:rsid w:val="00D36AC3"/>
    <w:rsid w:val="00D36B03"/>
    <w:rsid w:val="00D36BFD"/>
    <w:rsid w:val="00D41633"/>
    <w:rsid w:val="00D43F7D"/>
    <w:rsid w:val="00D4637F"/>
    <w:rsid w:val="00D514D0"/>
    <w:rsid w:val="00D52051"/>
    <w:rsid w:val="00D53E1C"/>
    <w:rsid w:val="00D54037"/>
    <w:rsid w:val="00D54F47"/>
    <w:rsid w:val="00D57E5D"/>
    <w:rsid w:val="00D6382E"/>
    <w:rsid w:val="00D64BDD"/>
    <w:rsid w:val="00D65625"/>
    <w:rsid w:val="00D66758"/>
    <w:rsid w:val="00D67AAB"/>
    <w:rsid w:val="00D75719"/>
    <w:rsid w:val="00D75AE0"/>
    <w:rsid w:val="00D776F3"/>
    <w:rsid w:val="00D779E8"/>
    <w:rsid w:val="00D77FAA"/>
    <w:rsid w:val="00D816AE"/>
    <w:rsid w:val="00D83690"/>
    <w:rsid w:val="00D83DA6"/>
    <w:rsid w:val="00D84ADC"/>
    <w:rsid w:val="00D90650"/>
    <w:rsid w:val="00D90AA0"/>
    <w:rsid w:val="00D951FC"/>
    <w:rsid w:val="00D96006"/>
    <w:rsid w:val="00D979F8"/>
    <w:rsid w:val="00DA285E"/>
    <w:rsid w:val="00DA51F3"/>
    <w:rsid w:val="00DB1CE4"/>
    <w:rsid w:val="00DB262F"/>
    <w:rsid w:val="00DB2912"/>
    <w:rsid w:val="00DB4B5D"/>
    <w:rsid w:val="00DB6547"/>
    <w:rsid w:val="00DC0BCF"/>
    <w:rsid w:val="00DC408A"/>
    <w:rsid w:val="00DC4C46"/>
    <w:rsid w:val="00DC602A"/>
    <w:rsid w:val="00DD02BE"/>
    <w:rsid w:val="00DD14BE"/>
    <w:rsid w:val="00DD211A"/>
    <w:rsid w:val="00DE456F"/>
    <w:rsid w:val="00DE540F"/>
    <w:rsid w:val="00DE75D2"/>
    <w:rsid w:val="00DF161E"/>
    <w:rsid w:val="00DF1DC2"/>
    <w:rsid w:val="00DF1FC7"/>
    <w:rsid w:val="00DF6333"/>
    <w:rsid w:val="00DF6B8C"/>
    <w:rsid w:val="00DF6FC8"/>
    <w:rsid w:val="00E0188A"/>
    <w:rsid w:val="00E04A36"/>
    <w:rsid w:val="00E056BC"/>
    <w:rsid w:val="00E06DCE"/>
    <w:rsid w:val="00E10DBE"/>
    <w:rsid w:val="00E12824"/>
    <w:rsid w:val="00E15BD3"/>
    <w:rsid w:val="00E178F9"/>
    <w:rsid w:val="00E3331E"/>
    <w:rsid w:val="00E37D0B"/>
    <w:rsid w:val="00E444A9"/>
    <w:rsid w:val="00E453DC"/>
    <w:rsid w:val="00E45587"/>
    <w:rsid w:val="00E455F6"/>
    <w:rsid w:val="00E456F4"/>
    <w:rsid w:val="00E45BA4"/>
    <w:rsid w:val="00E45F81"/>
    <w:rsid w:val="00E46EC6"/>
    <w:rsid w:val="00E50411"/>
    <w:rsid w:val="00E5123B"/>
    <w:rsid w:val="00E531BE"/>
    <w:rsid w:val="00E56A80"/>
    <w:rsid w:val="00E57201"/>
    <w:rsid w:val="00E57F09"/>
    <w:rsid w:val="00E709CA"/>
    <w:rsid w:val="00E736C7"/>
    <w:rsid w:val="00E73A53"/>
    <w:rsid w:val="00E7587F"/>
    <w:rsid w:val="00E77C79"/>
    <w:rsid w:val="00E825BC"/>
    <w:rsid w:val="00E839DF"/>
    <w:rsid w:val="00E8547F"/>
    <w:rsid w:val="00E854F5"/>
    <w:rsid w:val="00E85DBA"/>
    <w:rsid w:val="00E861E5"/>
    <w:rsid w:val="00E86E2B"/>
    <w:rsid w:val="00E87D26"/>
    <w:rsid w:val="00E9154F"/>
    <w:rsid w:val="00E94F65"/>
    <w:rsid w:val="00E96EC7"/>
    <w:rsid w:val="00EA5EEF"/>
    <w:rsid w:val="00EA7D6F"/>
    <w:rsid w:val="00EB1AFE"/>
    <w:rsid w:val="00EB2066"/>
    <w:rsid w:val="00EB2081"/>
    <w:rsid w:val="00EB5F4B"/>
    <w:rsid w:val="00EC62F2"/>
    <w:rsid w:val="00ED01E5"/>
    <w:rsid w:val="00ED2A2A"/>
    <w:rsid w:val="00ED48CA"/>
    <w:rsid w:val="00ED77AE"/>
    <w:rsid w:val="00EE0F56"/>
    <w:rsid w:val="00EE1622"/>
    <w:rsid w:val="00EE2062"/>
    <w:rsid w:val="00EE2085"/>
    <w:rsid w:val="00EF504C"/>
    <w:rsid w:val="00EF693F"/>
    <w:rsid w:val="00EF7FEB"/>
    <w:rsid w:val="00F04A6D"/>
    <w:rsid w:val="00F10376"/>
    <w:rsid w:val="00F121D8"/>
    <w:rsid w:val="00F12BC7"/>
    <w:rsid w:val="00F140D1"/>
    <w:rsid w:val="00F221E9"/>
    <w:rsid w:val="00F22FA5"/>
    <w:rsid w:val="00F24DFE"/>
    <w:rsid w:val="00F259C0"/>
    <w:rsid w:val="00F26BB4"/>
    <w:rsid w:val="00F27CA7"/>
    <w:rsid w:val="00F32C26"/>
    <w:rsid w:val="00F338C6"/>
    <w:rsid w:val="00F40D88"/>
    <w:rsid w:val="00F4196C"/>
    <w:rsid w:val="00F41C96"/>
    <w:rsid w:val="00F43826"/>
    <w:rsid w:val="00F45C6F"/>
    <w:rsid w:val="00F45F8C"/>
    <w:rsid w:val="00F46903"/>
    <w:rsid w:val="00F47830"/>
    <w:rsid w:val="00F50738"/>
    <w:rsid w:val="00F50FB6"/>
    <w:rsid w:val="00F513C8"/>
    <w:rsid w:val="00F553B6"/>
    <w:rsid w:val="00F60BDC"/>
    <w:rsid w:val="00F61C4E"/>
    <w:rsid w:val="00F627F5"/>
    <w:rsid w:val="00F705F7"/>
    <w:rsid w:val="00F71DEC"/>
    <w:rsid w:val="00F737E9"/>
    <w:rsid w:val="00F74A29"/>
    <w:rsid w:val="00F801DE"/>
    <w:rsid w:val="00F827F9"/>
    <w:rsid w:val="00F84E66"/>
    <w:rsid w:val="00F9153E"/>
    <w:rsid w:val="00F91746"/>
    <w:rsid w:val="00F95A77"/>
    <w:rsid w:val="00F9790D"/>
    <w:rsid w:val="00FA049F"/>
    <w:rsid w:val="00FA277F"/>
    <w:rsid w:val="00FA35FD"/>
    <w:rsid w:val="00FB298D"/>
    <w:rsid w:val="00FB6433"/>
    <w:rsid w:val="00FB6939"/>
    <w:rsid w:val="00FC0532"/>
    <w:rsid w:val="00FC2581"/>
    <w:rsid w:val="00FC3374"/>
    <w:rsid w:val="00FC57FB"/>
    <w:rsid w:val="00FC63AE"/>
    <w:rsid w:val="00FD174D"/>
    <w:rsid w:val="00FD4B49"/>
    <w:rsid w:val="00FD5E3D"/>
    <w:rsid w:val="00FD61AD"/>
    <w:rsid w:val="00FE0DB9"/>
    <w:rsid w:val="00FE6393"/>
    <w:rsid w:val="00FE79AE"/>
    <w:rsid w:val="00FF1E8A"/>
    <w:rsid w:val="00FF26A8"/>
    <w:rsid w:val="00FF3FA9"/>
    <w:rsid w:val="00FF47A0"/>
    <w:rsid w:val="00FF6F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606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48CA"/>
    <w:pPr>
      <w:spacing w:line="264" w:lineRule="auto"/>
    </w:pPr>
    <w:rPr>
      <w:rFonts w:ascii="Times New Roman" w:hAnsi="Times New Roman"/>
      <w:lang w:val="en-GB"/>
    </w:rPr>
  </w:style>
  <w:style w:type="paragraph" w:styleId="Heading1">
    <w:name w:val="heading 1"/>
    <w:basedOn w:val="ListParagraph"/>
    <w:next w:val="Normal"/>
    <w:link w:val="Heading1Char"/>
    <w:uiPriority w:val="9"/>
    <w:qFormat/>
    <w:rsid w:val="009D7617"/>
    <w:pPr>
      <w:numPr>
        <w:numId w:val="6"/>
      </w:numPr>
      <w:outlineLvl w:val="0"/>
    </w:pPr>
    <w:rPr>
      <w:b/>
    </w:rPr>
  </w:style>
  <w:style w:type="paragraph" w:styleId="Heading2">
    <w:name w:val="heading 2"/>
    <w:basedOn w:val="ListParagraph"/>
    <w:next w:val="Normal"/>
    <w:link w:val="Heading2Char"/>
    <w:uiPriority w:val="9"/>
    <w:unhideWhenUsed/>
    <w:qFormat/>
    <w:rsid w:val="009D7617"/>
    <w:pPr>
      <w:numPr>
        <w:ilvl w:val="1"/>
        <w:numId w:val="6"/>
      </w:numPr>
      <w:outlineLvl w:val="1"/>
    </w:pPr>
    <w:rPr>
      <w:b/>
      <w:lang w:val="en-US"/>
    </w:rPr>
  </w:style>
  <w:style w:type="paragraph" w:styleId="Heading3">
    <w:name w:val="heading 3"/>
    <w:basedOn w:val="Normal"/>
    <w:next w:val="Normal"/>
    <w:link w:val="Heading3Char"/>
    <w:uiPriority w:val="9"/>
    <w:unhideWhenUsed/>
    <w:qFormat/>
    <w:rsid w:val="007E4615"/>
    <w:pPr>
      <w:keepNext/>
      <w:keepLines/>
      <w:numPr>
        <w:ilvl w:val="2"/>
        <w:numId w:val="6"/>
      </w:numPr>
      <w:spacing w:before="40"/>
      <w:outlineLvl w:val="2"/>
    </w:pPr>
    <w:rPr>
      <w:rFonts w:asciiTheme="majorHAnsi" w:eastAsiaTheme="majorEastAsia" w:hAnsiTheme="majorHAnsi" w:cstheme="majorBidi"/>
      <w:color w:val="000000" w:themeColor="text1"/>
      <w:u w:val="single"/>
    </w:rPr>
  </w:style>
  <w:style w:type="paragraph" w:styleId="Heading4">
    <w:name w:val="heading 4"/>
    <w:basedOn w:val="Normal"/>
    <w:next w:val="Normal"/>
    <w:link w:val="Heading4Char"/>
    <w:uiPriority w:val="9"/>
    <w:semiHidden/>
    <w:unhideWhenUsed/>
    <w:qFormat/>
    <w:rsid w:val="009D7617"/>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D7617"/>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D7617"/>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D7617"/>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D7617"/>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7617"/>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B61"/>
    <w:pPr>
      <w:spacing w:after="100"/>
      <w:ind w:left="720"/>
    </w:pPr>
  </w:style>
  <w:style w:type="paragraph" w:styleId="Footer">
    <w:name w:val="footer"/>
    <w:basedOn w:val="Normal"/>
    <w:link w:val="FooterChar"/>
    <w:uiPriority w:val="99"/>
    <w:unhideWhenUsed/>
    <w:rsid w:val="00640319"/>
    <w:pPr>
      <w:tabs>
        <w:tab w:val="center" w:pos="4513"/>
        <w:tab w:val="right" w:pos="9026"/>
      </w:tabs>
    </w:pPr>
  </w:style>
  <w:style w:type="character" w:customStyle="1" w:styleId="FooterChar">
    <w:name w:val="Footer Char"/>
    <w:basedOn w:val="DefaultParagraphFont"/>
    <w:link w:val="Footer"/>
    <w:uiPriority w:val="99"/>
    <w:rsid w:val="00640319"/>
    <w:rPr>
      <w:lang w:val="en-GB"/>
    </w:rPr>
  </w:style>
  <w:style w:type="character" w:styleId="PageNumber">
    <w:name w:val="page number"/>
    <w:basedOn w:val="DefaultParagraphFont"/>
    <w:uiPriority w:val="99"/>
    <w:semiHidden/>
    <w:unhideWhenUsed/>
    <w:rsid w:val="00640319"/>
  </w:style>
  <w:style w:type="character" w:styleId="Hyperlink">
    <w:name w:val="Hyperlink"/>
    <w:basedOn w:val="DefaultParagraphFont"/>
    <w:uiPriority w:val="99"/>
    <w:unhideWhenUsed/>
    <w:rsid w:val="005B2223"/>
    <w:rPr>
      <w:color w:val="0563C1" w:themeColor="hyperlink"/>
      <w:u w:val="single"/>
    </w:rPr>
  </w:style>
  <w:style w:type="paragraph" w:styleId="Header">
    <w:name w:val="header"/>
    <w:basedOn w:val="Normal"/>
    <w:link w:val="HeaderChar"/>
    <w:uiPriority w:val="99"/>
    <w:unhideWhenUsed/>
    <w:rsid w:val="0042758D"/>
    <w:pPr>
      <w:tabs>
        <w:tab w:val="center" w:pos="4513"/>
        <w:tab w:val="right" w:pos="9026"/>
      </w:tabs>
    </w:pPr>
  </w:style>
  <w:style w:type="character" w:customStyle="1" w:styleId="HeaderChar">
    <w:name w:val="Header Char"/>
    <w:basedOn w:val="DefaultParagraphFont"/>
    <w:link w:val="Header"/>
    <w:uiPriority w:val="99"/>
    <w:rsid w:val="0042758D"/>
    <w:rPr>
      <w:lang w:val="en-GB"/>
    </w:rPr>
  </w:style>
  <w:style w:type="character" w:customStyle="1" w:styleId="Heading1Char">
    <w:name w:val="Heading 1 Char"/>
    <w:basedOn w:val="DefaultParagraphFont"/>
    <w:link w:val="Heading1"/>
    <w:uiPriority w:val="9"/>
    <w:rsid w:val="009D7617"/>
    <w:rPr>
      <w:b/>
      <w:lang w:val="en-GB"/>
    </w:rPr>
  </w:style>
  <w:style w:type="character" w:customStyle="1" w:styleId="Heading2Char">
    <w:name w:val="Heading 2 Char"/>
    <w:basedOn w:val="DefaultParagraphFont"/>
    <w:link w:val="Heading2"/>
    <w:uiPriority w:val="9"/>
    <w:rsid w:val="009D7617"/>
    <w:rPr>
      <w:b/>
    </w:rPr>
  </w:style>
  <w:style w:type="character" w:customStyle="1" w:styleId="Heading3Char">
    <w:name w:val="Heading 3 Char"/>
    <w:basedOn w:val="DefaultParagraphFont"/>
    <w:link w:val="Heading3"/>
    <w:uiPriority w:val="9"/>
    <w:rsid w:val="007E4615"/>
    <w:rPr>
      <w:rFonts w:asciiTheme="majorHAnsi" w:eastAsiaTheme="majorEastAsia" w:hAnsiTheme="majorHAnsi" w:cstheme="majorBidi"/>
      <w:color w:val="000000" w:themeColor="text1"/>
      <w:u w:val="single"/>
      <w:lang w:val="en-GB"/>
    </w:rPr>
  </w:style>
  <w:style w:type="character" w:customStyle="1" w:styleId="Heading4Char">
    <w:name w:val="Heading 4 Char"/>
    <w:basedOn w:val="DefaultParagraphFont"/>
    <w:link w:val="Heading4"/>
    <w:uiPriority w:val="9"/>
    <w:semiHidden/>
    <w:rsid w:val="009D7617"/>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9D7617"/>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9D7617"/>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9D7617"/>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9D761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9D7617"/>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semiHidden/>
    <w:unhideWhenUsed/>
    <w:rsid w:val="00D84ADC"/>
    <w:rPr>
      <w:rFonts w:cs="Times New Roman"/>
    </w:rPr>
  </w:style>
  <w:style w:type="paragraph" w:styleId="Revision">
    <w:name w:val="Revision"/>
    <w:hidden/>
    <w:uiPriority w:val="99"/>
    <w:semiHidden/>
    <w:rsid w:val="00667E56"/>
    <w:rPr>
      <w:lang w:val="en-GB"/>
    </w:rPr>
  </w:style>
  <w:style w:type="paragraph" w:styleId="TOC1">
    <w:name w:val="toc 1"/>
    <w:basedOn w:val="Normal"/>
    <w:next w:val="Normal"/>
    <w:autoRedefine/>
    <w:uiPriority w:val="39"/>
    <w:unhideWhenUsed/>
    <w:rsid w:val="00926191"/>
    <w:pPr>
      <w:spacing w:before="240" w:after="120"/>
    </w:pPr>
    <w:rPr>
      <w:b/>
      <w:bCs/>
      <w:caps/>
      <w:sz w:val="22"/>
      <w:szCs w:val="22"/>
      <w:u w:val="single"/>
    </w:rPr>
  </w:style>
  <w:style w:type="paragraph" w:styleId="TOC2">
    <w:name w:val="toc 2"/>
    <w:basedOn w:val="Normal"/>
    <w:next w:val="Normal"/>
    <w:autoRedefine/>
    <w:uiPriority w:val="39"/>
    <w:unhideWhenUsed/>
    <w:rsid w:val="00926191"/>
    <w:rPr>
      <w:b/>
      <w:bCs/>
      <w:smallCaps/>
      <w:sz w:val="22"/>
      <w:szCs w:val="22"/>
    </w:rPr>
  </w:style>
  <w:style w:type="paragraph" w:styleId="TOC3">
    <w:name w:val="toc 3"/>
    <w:basedOn w:val="Normal"/>
    <w:next w:val="Normal"/>
    <w:autoRedefine/>
    <w:uiPriority w:val="39"/>
    <w:unhideWhenUsed/>
    <w:rsid w:val="00926191"/>
    <w:rPr>
      <w:smallCaps/>
      <w:sz w:val="22"/>
      <w:szCs w:val="22"/>
    </w:rPr>
  </w:style>
  <w:style w:type="paragraph" w:styleId="TOC4">
    <w:name w:val="toc 4"/>
    <w:basedOn w:val="Normal"/>
    <w:next w:val="Normal"/>
    <w:autoRedefine/>
    <w:uiPriority w:val="39"/>
    <w:unhideWhenUsed/>
    <w:rsid w:val="00926191"/>
    <w:rPr>
      <w:sz w:val="22"/>
      <w:szCs w:val="22"/>
    </w:rPr>
  </w:style>
  <w:style w:type="paragraph" w:styleId="TOC5">
    <w:name w:val="toc 5"/>
    <w:basedOn w:val="Normal"/>
    <w:next w:val="Normal"/>
    <w:autoRedefine/>
    <w:uiPriority w:val="39"/>
    <w:unhideWhenUsed/>
    <w:rsid w:val="00926191"/>
    <w:rPr>
      <w:sz w:val="22"/>
      <w:szCs w:val="22"/>
    </w:rPr>
  </w:style>
  <w:style w:type="paragraph" w:styleId="TOC6">
    <w:name w:val="toc 6"/>
    <w:basedOn w:val="Normal"/>
    <w:next w:val="Normal"/>
    <w:autoRedefine/>
    <w:uiPriority w:val="39"/>
    <w:unhideWhenUsed/>
    <w:rsid w:val="00926191"/>
    <w:rPr>
      <w:sz w:val="22"/>
      <w:szCs w:val="22"/>
    </w:rPr>
  </w:style>
  <w:style w:type="paragraph" w:styleId="TOC7">
    <w:name w:val="toc 7"/>
    <w:basedOn w:val="Normal"/>
    <w:next w:val="Normal"/>
    <w:autoRedefine/>
    <w:uiPriority w:val="39"/>
    <w:unhideWhenUsed/>
    <w:rsid w:val="00926191"/>
    <w:rPr>
      <w:sz w:val="22"/>
      <w:szCs w:val="22"/>
    </w:rPr>
  </w:style>
  <w:style w:type="paragraph" w:styleId="TOC8">
    <w:name w:val="toc 8"/>
    <w:basedOn w:val="Normal"/>
    <w:next w:val="Normal"/>
    <w:autoRedefine/>
    <w:uiPriority w:val="39"/>
    <w:unhideWhenUsed/>
    <w:rsid w:val="00926191"/>
    <w:rPr>
      <w:sz w:val="22"/>
      <w:szCs w:val="22"/>
    </w:rPr>
  </w:style>
  <w:style w:type="paragraph" w:styleId="TOC9">
    <w:name w:val="toc 9"/>
    <w:basedOn w:val="Normal"/>
    <w:next w:val="Normal"/>
    <w:autoRedefine/>
    <w:uiPriority w:val="39"/>
    <w:unhideWhenUsed/>
    <w:rsid w:val="00926191"/>
    <w:rPr>
      <w:sz w:val="22"/>
      <w:szCs w:val="22"/>
    </w:rPr>
  </w:style>
  <w:style w:type="paragraph" w:styleId="BalloonText">
    <w:name w:val="Balloon Text"/>
    <w:basedOn w:val="Normal"/>
    <w:link w:val="BalloonTextChar"/>
    <w:uiPriority w:val="99"/>
    <w:semiHidden/>
    <w:unhideWhenUsed/>
    <w:rsid w:val="007150E0"/>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7150E0"/>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CB5C51"/>
    <w:rPr>
      <w:sz w:val="18"/>
      <w:szCs w:val="18"/>
    </w:rPr>
  </w:style>
  <w:style w:type="paragraph" w:styleId="CommentText">
    <w:name w:val="annotation text"/>
    <w:basedOn w:val="Normal"/>
    <w:link w:val="CommentTextChar"/>
    <w:uiPriority w:val="99"/>
    <w:semiHidden/>
    <w:unhideWhenUsed/>
    <w:rsid w:val="00CB5C51"/>
    <w:pPr>
      <w:spacing w:line="240" w:lineRule="auto"/>
    </w:pPr>
  </w:style>
  <w:style w:type="character" w:customStyle="1" w:styleId="CommentTextChar">
    <w:name w:val="Comment Text Char"/>
    <w:basedOn w:val="DefaultParagraphFont"/>
    <w:link w:val="CommentText"/>
    <w:uiPriority w:val="99"/>
    <w:semiHidden/>
    <w:rsid w:val="00CB5C5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CB5C51"/>
    <w:rPr>
      <w:b/>
      <w:bCs/>
      <w:sz w:val="20"/>
      <w:szCs w:val="20"/>
    </w:rPr>
  </w:style>
  <w:style w:type="character" w:customStyle="1" w:styleId="CommentSubjectChar">
    <w:name w:val="Comment Subject Char"/>
    <w:basedOn w:val="CommentTextChar"/>
    <w:link w:val="CommentSubject"/>
    <w:uiPriority w:val="99"/>
    <w:semiHidden/>
    <w:rsid w:val="00CB5C51"/>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976AB6"/>
    <w:rPr>
      <w:color w:val="954F72" w:themeColor="followedHyperlink"/>
      <w:u w:val="single"/>
    </w:rPr>
  </w:style>
  <w:style w:type="character" w:customStyle="1" w:styleId="apple-converted-space">
    <w:name w:val="apple-converted-space"/>
    <w:basedOn w:val="DefaultParagraphFont"/>
    <w:rsid w:val="00CC28F1"/>
  </w:style>
  <w:style w:type="paragraph" w:customStyle="1" w:styleId="ListParaBiblio">
    <w:name w:val="List Para Biblio"/>
    <w:basedOn w:val="List"/>
    <w:qFormat/>
    <w:rsid w:val="0090606D"/>
    <w:pPr>
      <w:numPr>
        <w:numId w:val="17"/>
      </w:numPr>
      <w:spacing w:after="100"/>
      <w:ind w:left="714" w:hanging="357"/>
    </w:pPr>
  </w:style>
  <w:style w:type="paragraph" w:styleId="List">
    <w:name w:val="List"/>
    <w:basedOn w:val="Normal"/>
    <w:uiPriority w:val="99"/>
    <w:semiHidden/>
    <w:unhideWhenUsed/>
    <w:rsid w:val="00C05F11"/>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4517">
      <w:bodyDiv w:val="1"/>
      <w:marLeft w:val="0"/>
      <w:marRight w:val="0"/>
      <w:marTop w:val="0"/>
      <w:marBottom w:val="0"/>
      <w:divBdr>
        <w:top w:val="none" w:sz="0" w:space="0" w:color="auto"/>
        <w:left w:val="none" w:sz="0" w:space="0" w:color="auto"/>
        <w:bottom w:val="none" w:sz="0" w:space="0" w:color="auto"/>
        <w:right w:val="none" w:sz="0" w:space="0" w:color="auto"/>
      </w:divBdr>
    </w:div>
    <w:div w:id="130683615">
      <w:bodyDiv w:val="1"/>
      <w:marLeft w:val="0"/>
      <w:marRight w:val="0"/>
      <w:marTop w:val="0"/>
      <w:marBottom w:val="0"/>
      <w:divBdr>
        <w:top w:val="none" w:sz="0" w:space="0" w:color="auto"/>
        <w:left w:val="none" w:sz="0" w:space="0" w:color="auto"/>
        <w:bottom w:val="none" w:sz="0" w:space="0" w:color="auto"/>
        <w:right w:val="none" w:sz="0" w:space="0" w:color="auto"/>
      </w:divBdr>
    </w:div>
    <w:div w:id="130943516">
      <w:bodyDiv w:val="1"/>
      <w:marLeft w:val="0"/>
      <w:marRight w:val="0"/>
      <w:marTop w:val="0"/>
      <w:marBottom w:val="0"/>
      <w:divBdr>
        <w:top w:val="none" w:sz="0" w:space="0" w:color="auto"/>
        <w:left w:val="none" w:sz="0" w:space="0" w:color="auto"/>
        <w:bottom w:val="none" w:sz="0" w:space="0" w:color="auto"/>
        <w:right w:val="none" w:sz="0" w:space="0" w:color="auto"/>
      </w:divBdr>
    </w:div>
    <w:div w:id="140465698">
      <w:bodyDiv w:val="1"/>
      <w:marLeft w:val="0"/>
      <w:marRight w:val="0"/>
      <w:marTop w:val="0"/>
      <w:marBottom w:val="0"/>
      <w:divBdr>
        <w:top w:val="none" w:sz="0" w:space="0" w:color="auto"/>
        <w:left w:val="none" w:sz="0" w:space="0" w:color="auto"/>
        <w:bottom w:val="none" w:sz="0" w:space="0" w:color="auto"/>
        <w:right w:val="none" w:sz="0" w:space="0" w:color="auto"/>
      </w:divBdr>
    </w:div>
    <w:div w:id="145706933">
      <w:bodyDiv w:val="1"/>
      <w:marLeft w:val="0"/>
      <w:marRight w:val="0"/>
      <w:marTop w:val="0"/>
      <w:marBottom w:val="0"/>
      <w:divBdr>
        <w:top w:val="none" w:sz="0" w:space="0" w:color="auto"/>
        <w:left w:val="none" w:sz="0" w:space="0" w:color="auto"/>
        <w:bottom w:val="none" w:sz="0" w:space="0" w:color="auto"/>
        <w:right w:val="none" w:sz="0" w:space="0" w:color="auto"/>
      </w:divBdr>
    </w:div>
    <w:div w:id="186213523">
      <w:bodyDiv w:val="1"/>
      <w:marLeft w:val="0"/>
      <w:marRight w:val="0"/>
      <w:marTop w:val="0"/>
      <w:marBottom w:val="0"/>
      <w:divBdr>
        <w:top w:val="none" w:sz="0" w:space="0" w:color="auto"/>
        <w:left w:val="none" w:sz="0" w:space="0" w:color="auto"/>
        <w:bottom w:val="none" w:sz="0" w:space="0" w:color="auto"/>
        <w:right w:val="none" w:sz="0" w:space="0" w:color="auto"/>
      </w:divBdr>
    </w:div>
    <w:div w:id="188177925">
      <w:bodyDiv w:val="1"/>
      <w:marLeft w:val="0"/>
      <w:marRight w:val="0"/>
      <w:marTop w:val="0"/>
      <w:marBottom w:val="0"/>
      <w:divBdr>
        <w:top w:val="none" w:sz="0" w:space="0" w:color="auto"/>
        <w:left w:val="none" w:sz="0" w:space="0" w:color="auto"/>
        <w:bottom w:val="none" w:sz="0" w:space="0" w:color="auto"/>
        <w:right w:val="none" w:sz="0" w:space="0" w:color="auto"/>
      </w:divBdr>
      <w:divsChild>
        <w:div w:id="1074739164">
          <w:marLeft w:val="0"/>
          <w:marRight w:val="0"/>
          <w:marTop w:val="0"/>
          <w:marBottom w:val="0"/>
          <w:divBdr>
            <w:top w:val="none" w:sz="0" w:space="0" w:color="auto"/>
            <w:left w:val="none" w:sz="0" w:space="0" w:color="auto"/>
            <w:bottom w:val="none" w:sz="0" w:space="0" w:color="auto"/>
            <w:right w:val="none" w:sz="0" w:space="0" w:color="auto"/>
          </w:divBdr>
          <w:divsChild>
            <w:div w:id="287245337">
              <w:marLeft w:val="0"/>
              <w:marRight w:val="0"/>
              <w:marTop w:val="0"/>
              <w:marBottom w:val="0"/>
              <w:divBdr>
                <w:top w:val="none" w:sz="0" w:space="0" w:color="auto"/>
                <w:left w:val="none" w:sz="0" w:space="0" w:color="auto"/>
                <w:bottom w:val="none" w:sz="0" w:space="0" w:color="auto"/>
                <w:right w:val="none" w:sz="0" w:space="0" w:color="auto"/>
              </w:divBdr>
              <w:divsChild>
                <w:div w:id="17386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8513">
      <w:bodyDiv w:val="1"/>
      <w:marLeft w:val="0"/>
      <w:marRight w:val="0"/>
      <w:marTop w:val="0"/>
      <w:marBottom w:val="0"/>
      <w:divBdr>
        <w:top w:val="none" w:sz="0" w:space="0" w:color="auto"/>
        <w:left w:val="none" w:sz="0" w:space="0" w:color="auto"/>
        <w:bottom w:val="none" w:sz="0" w:space="0" w:color="auto"/>
        <w:right w:val="none" w:sz="0" w:space="0" w:color="auto"/>
      </w:divBdr>
    </w:div>
    <w:div w:id="198274992">
      <w:bodyDiv w:val="1"/>
      <w:marLeft w:val="0"/>
      <w:marRight w:val="0"/>
      <w:marTop w:val="0"/>
      <w:marBottom w:val="0"/>
      <w:divBdr>
        <w:top w:val="none" w:sz="0" w:space="0" w:color="auto"/>
        <w:left w:val="none" w:sz="0" w:space="0" w:color="auto"/>
        <w:bottom w:val="none" w:sz="0" w:space="0" w:color="auto"/>
        <w:right w:val="none" w:sz="0" w:space="0" w:color="auto"/>
      </w:divBdr>
    </w:div>
    <w:div w:id="203906169">
      <w:bodyDiv w:val="1"/>
      <w:marLeft w:val="0"/>
      <w:marRight w:val="0"/>
      <w:marTop w:val="0"/>
      <w:marBottom w:val="0"/>
      <w:divBdr>
        <w:top w:val="none" w:sz="0" w:space="0" w:color="auto"/>
        <w:left w:val="none" w:sz="0" w:space="0" w:color="auto"/>
        <w:bottom w:val="none" w:sz="0" w:space="0" w:color="auto"/>
        <w:right w:val="none" w:sz="0" w:space="0" w:color="auto"/>
      </w:divBdr>
    </w:div>
    <w:div w:id="204097896">
      <w:bodyDiv w:val="1"/>
      <w:marLeft w:val="0"/>
      <w:marRight w:val="0"/>
      <w:marTop w:val="0"/>
      <w:marBottom w:val="0"/>
      <w:divBdr>
        <w:top w:val="none" w:sz="0" w:space="0" w:color="auto"/>
        <w:left w:val="none" w:sz="0" w:space="0" w:color="auto"/>
        <w:bottom w:val="none" w:sz="0" w:space="0" w:color="auto"/>
        <w:right w:val="none" w:sz="0" w:space="0" w:color="auto"/>
      </w:divBdr>
    </w:div>
    <w:div w:id="206645519">
      <w:bodyDiv w:val="1"/>
      <w:marLeft w:val="0"/>
      <w:marRight w:val="0"/>
      <w:marTop w:val="0"/>
      <w:marBottom w:val="0"/>
      <w:divBdr>
        <w:top w:val="none" w:sz="0" w:space="0" w:color="auto"/>
        <w:left w:val="none" w:sz="0" w:space="0" w:color="auto"/>
        <w:bottom w:val="none" w:sz="0" w:space="0" w:color="auto"/>
        <w:right w:val="none" w:sz="0" w:space="0" w:color="auto"/>
      </w:divBdr>
    </w:div>
    <w:div w:id="242035534">
      <w:bodyDiv w:val="1"/>
      <w:marLeft w:val="0"/>
      <w:marRight w:val="0"/>
      <w:marTop w:val="0"/>
      <w:marBottom w:val="0"/>
      <w:divBdr>
        <w:top w:val="none" w:sz="0" w:space="0" w:color="auto"/>
        <w:left w:val="none" w:sz="0" w:space="0" w:color="auto"/>
        <w:bottom w:val="none" w:sz="0" w:space="0" w:color="auto"/>
        <w:right w:val="none" w:sz="0" w:space="0" w:color="auto"/>
      </w:divBdr>
    </w:div>
    <w:div w:id="244926226">
      <w:bodyDiv w:val="1"/>
      <w:marLeft w:val="0"/>
      <w:marRight w:val="0"/>
      <w:marTop w:val="0"/>
      <w:marBottom w:val="0"/>
      <w:divBdr>
        <w:top w:val="none" w:sz="0" w:space="0" w:color="auto"/>
        <w:left w:val="none" w:sz="0" w:space="0" w:color="auto"/>
        <w:bottom w:val="none" w:sz="0" w:space="0" w:color="auto"/>
        <w:right w:val="none" w:sz="0" w:space="0" w:color="auto"/>
      </w:divBdr>
    </w:div>
    <w:div w:id="254019414">
      <w:bodyDiv w:val="1"/>
      <w:marLeft w:val="0"/>
      <w:marRight w:val="0"/>
      <w:marTop w:val="0"/>
      <w:marBottom w:val="0"/>
      <w:divBdr>
        <w:top w:val="none" w:sz="0" w:space="0" w:color="auto"/>
        <w:left w:val="none" w:sz="0" w:space="0" w:color="auto"/>
        <w:bottom w:val="none" w:sz="0" w:space="0" w:color="auto"/>
        <w:right w:val="none" w:sz="0" w:space="0" w:color="auto"/>
      </w:divBdr>
    </w:div>
    <w:div w:id="278729573">
      <w:bodyDiv w:val="1"/>
      <w:marLeft w:val="0"/>
      <w:marRight w:val="0"/>
      <w:marTop w:val="0"/>
      <w:marBottom w:val="0"/>
      <w:divBdr>
        <w:top w:val="none" w:sz="0" w:space="0" w:color="auto"/>
        <w:left w:val="none" w:sz="0" w:space="0" w:color="auto"/>
        <w:bottom w:val="none" w:sz="0" w:space="0" w:color="auto"/>
        <w:right w:val="none" w:sz="0" w:space="0" w:color="auto"/>
      </w:divBdr>
    </w:div>
    <w:div w:id="283540312">
      <w:bodyDiv w:val="1"/>
      <w:marLeft w:val="0"/>
      <w:marRight w:val="0"/>
      <w:marTop w:val="0"/>
      <w:marBottom w:val="0"/>
      <w:divBdr>
        <w:top w:val="none" w:sz="0" w:space="0" w:color="auto"/>
        <w:left w:val="none" w:sz="0" w:space="0" w:color="auto"/>
        <w:bottom w:val="none" w:sz="0" w:space="0" w:color="auto"/>
        <w:right w:val="none" w:sz="0" w:space="0" w:color="auto"/>
      </w:divBdr>
    </w:div>
    <w:div w:id="329526896">
      <w:bodyDiv w:val="1"/>
      <w:marLeft w:val="0"/>
      <w:marRight w:val="0"/>
      <w:marTop w:val="0"/>
      <w:marBottom w:val="0"/>
      <w:divBdr>
        <w:top w:val="none" w:sz="0" w:space="0" w:color="auto"/>
        <w:left w:val="none" w:sz="0" w:space="0" w:color="auto"/>
        <w:bottom w:val="none" w:sz="0" w:space="0" w:color="auto"/>
        <w:right w:val="none" w:sz="0" w:space="0" w:color="auto"/>
      </w:divBdr>
    </w:div>
    <w:div w:id="339436221">
      <w:bodyDiv w:val="1"/>
      <w:marLeft w:val="0"/>
      <w:marRight w:val="0"/>
      <w:marTop w:val="0"/>
      <w:marBottom w:val="0"/>
      <w:divBdr>
        <w:top w:val="none" w:sz="0" w:space="0" w:color="auto"/>
        <w:left w:val="none" w:sz="0" w:space="0" w:color="auto"/>
        <w:bottom w:val="none" w:sz="0" w:space="0" w:color="auto"/>
        <w:right w:val="none" w:sz="0" w:space="0" w:color="auto"/>
      </w:divBdr>
    </w:div>
    <w:div w:id="360713721">
      <w:bodyDiv w:val="1"/>
      <w:marLeft w:val="0"/>
      <w:marRight w:val="0"/>
      <w:marTop w:val="0"/>
      <w:marBottom w:val="0"/>
      <w:divBdr>
        <w:top w:val="none" w:sz="0" w:space="0" w:color="auto"/>
        <w:left w:val="none" w:sz="0" w:space="0" w:color="auto"/>
        <w:bottom w:val="none" w:sz="0" w:space="0" w:color="auto"/>
        <w:right w:val="none" w:sz="0" w:space="0" w:color="auto"/>
      </w:divBdr>
    </w:div>
    <w:div w:id="401022622">
      <w:bodyDiv w:val="1"/>
      <w:marLeft w:val="0"/>
      <w:marRight w:val="0"/>
      <w:marTop w:val="0"/>
      <w:marBottom w:val="0"/>
      <w:divBdr>
        <w:top w:val="none" w:sz="0" w:space="0" w:color="auto"/>
        <w:left w:val="none" w:sz="0" w:space="0" w:color="auto"/>
        <w:bottom w:val="none" w:sz="0" w:space="0" w:color="auto"/>
        <w:right w:val="none" w:sz="0" w:space="0" w:color="auto"/>
      </w:divBdr>
    </w:div>
    <w:div w:id="443117400">
      <w:bodyDiv w:val="1"/>
      <w:marLeft w:val="0"/>
      <w:marRight w:val="0"/>
      <w:marTop w:val="0"/>
      <w:marBottom w:val="0"/>
      <w:divBdr>
        <w:top w:val="none" w:sz="0" w:space="0" w:color="auto"/>
        <w:left w:val="none" w:sz="0" w:space="0" w:color="auto"/>
        <w:bottom w:val="none" w:sz="0" w:space="0" w:color="auto"/>
        <w:right w:val="none" w:sz="0" w:space="0" w:color="auto"/>
      </w:divBdr>
    </w:div>
    <w:div w:id="446194299">
      <w:bodyDiv w:val="1"/>
      <w:marLeft w:val="0"/>
      <w:marRight w:val="0"/>
      <w:marTop w:val="0"/>
      <w:marBottom w:val="0"/>
      <w:divBdr>
        <w:top w:val="none" w:sz="0" w:space="0" w:color="auto"/>
        <w:left w:val="none" w:sz="0" w:space="0" w:color="auto"/>
        <w:bottom w:val="none" w:sz="0" w:space="0" w:color="auto"/>
        <w:right w:val="none" w:sz="0" w:space="0" w:color="auto"/>
      </w:divBdr>
    </w:div>
    <w:div w:id="452598803">
      <w:bodyDiv w:val="1"/>
      <w:marLeft w:val="0"/>
      <w:marRight w:val="0"/>
      <w:marTop w:val="0"/>
      <w:marBottom w:val="0"/>
      <w:divBdr>
        <w:top w:val="none" w:sz="0" w:space="0" w:color="auto"/>
        <w:left w:val="none" w:sz="0" w:space="0" w:color="auto"/>
        <w:bottom w:val="none" w:sz="0" w:space="0" w:color="auto"/>
        <w:right w:val="none" w:sz="0" w:space="0" w:color="auto"/>
      </w:divBdr>
    </w:div>
    <w:div w:id="454179449">
      <w:bodyDiv w:val="1"/>
      <w:marLeft w:val="0"/>
      <w:marRight w:val="0"/>
      <w:marTop w:val="0"/>
      <w:marBottom w:val="0"/>
      <w:divBdr>
        <w:top w:val="none" w:sz="0" w:space="0" w:color="auto"/>
        <w:left w:val="none" w:sz="0" w:space="0" w:color="auto"/>
        <w:bottom w:val="none" w:sz="0" w:space="0" w:color="auto"/>
        <w:right w:val="none" w:sz="0" w:space="0" w:color="auto"/>
      </w:divBdr>
    </w:div>
    <w:div w:id="473181537">
      <w:bodyDiv w:val="1"/>
      <w:marLeft w:val="0"/>
      <w:marRight w:val="0"/>
      <w:marTop w:val="0"/>
      <w:marBottom w:val="0"/>
      <w:divBdr>
        <w:top w:val="none" w:sz="0" w:space="0" w:color="auto"/>
        <w:left w:val="none" w:sz="0" w:space="0" w:color="auto"/>
        <w:bottom w:val="none" w:sz="0" w:space="0" w:color="auto"/>
        <w:right w:val="none" w:sz="0" w:space="0" w:color="auto"/>
      </w:divBdr>
    </w:div>
    <w:div w:id="539512518">
      <w:bodyDiv w:val="1"/>
      <w:marLeft w:val="0"/>
      <w:marRight w:val="0"/>
      <w:marTop w:val="0"/>
      <w:marBottom w:val="0"/>
      <w:divBdr>
        <w:top w:val="none" w:sz="0" w:space="0" w:color="auto"/>
        <w:left w:val="none" w:sz="0" w:space="0" w:color="auto"/>
        <w:bottom w:val="none" w:sz="0" w:space="0" w:color="auto"/>
        <w:right w:val="none" w:sz="0" w:space="0" w:color="auto"/>
      </w:divBdr>
    </w:div>
    <w:div w:id="551383847">
      <w:bodyDiv w:val="1"/>
      <w:marLeft w:val="0"/>
      <w:marRight w:val="0"/>
      <w:marTop w:val="0"/>
      <w:marBottom w:val="0"/>
      <w:divBdr>
        <w:top w:val="none" w:sz="0" w:space="0" w:color="auto"/>
        <w:left w:val="none" w:sz="0" w:space="0" w:color="auto"/>
        <w:bottom w:val="none" w:sz="0" w:space="0" w:color="auto"/>
        <w:right w:val="none" w:sz="0" w:space="0" w:color="auto"/>
      </w:divBdr>
    </w:div>
    <w:div w:id="588582240">
      <w:bodyDiv w:val="1"/>
      <w:marLeft w:val="0"/>
      <w:marRight w:val="0"/>
      <w:marTop w:val="0"/>
      <w:marBottom w:val="0"/>
      <w:divBdr>
        <w:top w:val="none" w:sz="0" w:space="0" w:color="auto"/>
        <w:left w:val="none" w:sz="0" w:space="0" w:color="auto"/>
        <w:bottom w:val="none" w:sz="0" w:space="0" w:color="auto"/>
        <w:right w:val="none" w:sz="0" w:space="0" w:color="auto"/>
      </w:divBdr>
    </w:div>
    <w:div w:id="604465938">
      <w:bodyDiv w:val="1"/>
      <w:marLeft w:val="0"/>
      <w:marRight w:val="0"/>
      <w:marTop w:val="0"/>
      <w:marBottom w:val="0"/>
      <w:divBdr>
        <w:top w:val="none" w:sz="0" w:space="0" w:color="auto"/>
        <w:left w:val="none" w:sz="0" w:space="0" w:color="auto"/>
        <w:bottom w:val="none" w:sz="0" w:space="0" w:color="auto"/>
        <w:right w:val="none" w:sz="0" w:space="0" w:color="auto"/>
      </w:divBdr>
    </w:div>
    <w:div w:id="665472724">
      <w:bodyDiv w:val="1"/>
      <w:marLeft w:val="0"/>
      <w:marRight w:val="0"/>
      <w:marTop w:val="0"/>
      <w:marBottom w:val="0"/>
      <w:divBdr>
        <w:top w:val="none" w:sz="0" w:space="0" w:color="auto"/>
        <w:left w:val="none" w:sz="0" w:space="0" w:color="auto"/>
        <w:bottom w:val="none" w:sz="0" w:space="0" w:color="auto"/>
        <w:right w:val="none" w:sz="0" w:space="0" w:color="auto"/>
      </w:divBdr>
    </w:div>
    <w:div w:id="679504047">
      <w:bodyDiv w:val="1"/>
      <w:marLeft w:val="0"/>
      <w:marRight w:val="0"/>
      <w:marTop w:val="0"/>
      <w:marBottom w:val="0"/>
      <w:divBdr>
        <w:top w:val="none" w:sz="0" w:space="0" w:color="auto"/>
        <w:left w:val="none" w:sz="0" w:space="0" w:color="auto"/>
        <w:bottom w:val="none" w:sz="0" w:space="0" w:color="auto"/>
        <w:right w:val="none" w:sz="0" w:space="0" w:color="auto"/>
      </w:divBdr>
    </w:div>
    <w:div w:id="689379646">
      <w:bodyDiv w:val="1"/>
      <w:marLeft w:val="0"/>
      <w:marRight w:val="0"/>
      <w:marTop w:val="0"/>
      <w:marBottom w:val="0"/>
      <w:divBdr>
        <w:top w:val="none" w:sz="0" w:space="0" w:color="auto"/>
        <w:left w:val="none" w:sz="0" w:space="0" w:color="auto"/>
        <w:bottom w:val="none" w:sz="0" w:space="0" w:color="auto"/>
        <w:right w:val="none" w:sz="0" w:space="0" w:color="auto"/>
      </w:divBdr>
    </w:div>
    <w:div w:id="714156140">
      <w:bodyDiv w:val="1"/>
      <w:marLeft w:val="0"/>
      <w:marRight w:val="0"/>
      <w:marTop w:val="0"/>
      <w:marBottom w:val="0"/>
      <w:divBdr>
        <w:top w:val="none" w:sz="0" w:space="0" w:color="auto"/>
        <w:left w:val="none" w:sz="0" w:space="0" w:color="auto"/>
        <w:bottom w:val="none" w:sz="0" w:space="0" w:color="auto"/>
        <w:right w:val="none" w:sz="0" w:space="0" w:color="auto"/>
      </w:divBdr>
    </w:div>
    <w:div w:id="740099571">
      <w:bodyDiv w:val="1"/>
      <w:marLeft w:val="0"/>
      <w:marRight w:val="0"/>
      <w:marTop w:val="0"/>
      <w:marBottom w:val="0"/>
      <w:divBdr>
        <w:top w:val="none" w:sz="0" w:space="0" w:color="auto"/>
        <w:left w:val="none" w:sz="0" w:space="0" w:color="auto"/>
        <w:bottom w:val="none" w:sz="0" w:space="0" w:color="auto"/>
        <w:right w:val="none" w:sz="0" w:space="0" w:color="auto"/>
      </w:divBdr>
      <w:divsChild>
        <w:div w:id="459150005">
          <w:marLeft w:val="0"/>
          <w:marRight w:val="0"/>
          <w:marTop w:val="0"/>
          <w:marBottom w:val="0"/>
          <w:divBdr>
            <w:top w:val="none" w:sz="0" w:space="0" w:color="auto"/>
            <w:left w:val="none" w:sz="0" w:space="0" w:color="auto"/>
            <w:bottom w:val="none" w:sz="0" w:space="0" w:color="auto"/>
            <w:right w:val="none" w:sz="0" w:space="0" w:color="auto"/>
          </w:divBdr>
          <w:divsChild>
            <w:div w:id="1355108281">
              <w:marLeft w:val="0"/>
              <w:marRight w:val="0"/>
              <w:marTop w:val="0"/>
              <w:marBottom w:val="0"/>
              <w:divBdr>
                <w:top w:val="none" w:sz="0" w:space="0" w:color="auto"/>
                <w:left w:val="none" w:sz="0" w:space="0" w:color="auto"/>
                <w:bottom w:val="none" w:sz="0" w:space="0" w:color="auto"/>
                <w:right w:val="none" w:sz="0" w:space="0" w:color="auto"/>
              </w:divBdr>
              <w:divsChild>
                <w:div w:id="20349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7271">
      <w:bodyDiv w:val="1"/>
      <w:marLeft w:val="0"/>
      <w:marRight w:val="0"/>
      <w:marTop w:val="0"/>
      <w:marBottom w:val="0"/>
      <w:divBdr>
        <w:top w:val="none" w:sz="0" w:space="0" w:color="auto"/>
        <w:left w:val="none" w:sz="0" w:space="0" w:color="auto"/>
        <w:bottom w:val="none" w:sz="0" w:space="0" w:color="auto"/>
        <w:right w:val="none" w:sz="0" w:space="0" w:color="auto"/>
      </w:divBdr>
    </w:div>
    <w:div w:id="772363383">
      <w:bodyDiv w:val="1"/>
      <w:marLeft w:val="0"/>
      <w:marRight w:val="0"/>
      <w:marTop w:val="0"/>
      <w:marBottom w:val="0"/>
      <w:divBdr>
        <w:top w:val="none" w:sz="0" w:space="0" w:color="auto"/>
        <w:left w:val="none" w:sz="0" w:space="0" w:color="auto"/>
        <w:bottom w:val="none" w:sz="0" w:space="0" w:color="auto"/>
        <w:right w:val="none" w:sz="0" w:space="0" w:color="auto"/>
      </w:divBdr>
    </w:div>
    <w:div w:id="781652861">
      <w:bodyDiv w:val="1"/>
      <w:marLeft w:val="0"/>
      <w:marRight w:val="0"/>
      <w:marTop w:val="0"/>
      <w:marBottom w:val="0"/>
      <w:divBdr>
        <w:top w:val="none" w:sz="0" w:space="0" w:color="auto"/>
        <w:left w:val="none" w:sz="0" w:space="0" w:color="auto"/>
        <w:bottom w:val="none" w:sz="0" w:space="0" w:color="auto"/>
        <w:right w:val="none" w:sz="0" w:space="0" w:color="auto"/>
      </w:divBdr>
    </w:div>
    <w:div w:id="788209023">
      <w:bodyDiv w:val="1"/>
      <w:marLeft w:val="0"/>
      <w:marRight w:val="0"/>
      <w:marTop w:val="0"/>
      <w:marBottom w:val="0"/>
      <w:divBdr>
        <w:top w:val="none" w:sz="0" w:space="0" w:color="auto"/>
        <w:left w:val="none" w:sz="0" w:space="0" w:color="auto"/>
        <w:bottom w:val="none" w:sz="0" w:space="0" w:color="auto"/>
        <w:right w:val="none" w:sz="0" w:space="0" w:color="auto"/>
      </w:divBdr>
    </w:div>
    <w:div w:id="840706191">
      <w:bodyDiv w:val="1"/>
      <w:marLeft w:val="0"/>
      <w:marRight w:val="0"/>
      <w:marTop w:val="0"/>
      <w:marBottom w:val="0"/>
      <w:divBdr>
        <w:top w:val="none" w:sz="0" w:space="0" w:color="auto"/>
        <w:left w:val="none" w:sz="0" w:space="0" w:color="auto"/>
        <w:bottom w:val="none" w:sz="0" w:space="0" w:color="auto"/>
        <w:right w:val="none" w:sz="0" w:space="0" w:color="auto"/>
      </w:divBdr>
    </w:div>
    <w:div w:id="851913217">
      <w:bodyDiv w:val="1"/>
      <w:marLeft w:val="0"/>
      <w:marRight w:val="0"/>
      <w:marTop w:val="0"/>
      <w:marBottom w:val="0"/>
      <w:divBdr>
        <w:top w:val="none" w:sz="0" w:space="0" w:color="auto"/>
        <w:left w:val="none" w:sz="0" w:space="0" w:color="auto"/>
        <w:bottom w:val="none" w:sz="0" w:space="0" w:color="auto"/>
        <w:right w:val="none" w:sz="0" w:space="0" w:color="auto"/>
      </w:divBdr>
    </w:div>
    <w:div w:id="870653936">
      <w:bodyDiv w:val="1"/>
      <w:marLeft w:val="0"/>
      <w:marRight w:val="0"/>
      <w:marTop w:val="0"/>
      <w:marBottom w:val="0"/>
      <w:divBdr>
        <w:top w:val="none" w:sz="0" w:space="0" w:color="auto"/>
        <w:left w:val="none" w:sz="0" w:space="0" w:color="auto"/>
        <w:bottom w:val="none" w:sz="0" w:space="0" w:color="auto"/>
        <w:right w:val="none" w:sz="0" w:space="0" w:color="auto"/>
      </w:divBdr>
    </w:div>
    <w:div w:id="926160483">
      <w:bodyDiv w:val="1"/>
      <w:marLeft w:val="0"/>
      <w:marRight w:val="0"/>
      <w:marTop w:val="0"/>
      <w:marBottom w:val="0"/>
      <w:divBdr>
        <w:top w:val="none" w:sz="0" w:space="0" w:color="auto"/>
        <w:left w:val="none" w:sz="0" w:space="0" w:color="auto"/>
        <w:bottom w:val="none" w:sz="0" w:space="0" w:color="auto"/>
        <w:right w:val="none" w:sz="0" w:space="0" w:color="auto"/>
      </w:divBdr>
    </w:div>
    <w:div w:id="990645382">
      <w:bodyDiv w:val="1"/>
      <w:marLeft w:val="0"/>
      <w:marRight w:val="0"/>
      <w:marTop w:val="0"/>
      <w:marBottom w:val="0"/>
      <w:divBdr>
        <w:top w:val="none" w:sz="0" w:space="0" w:color="auto"/>
        <w:left w:val="none" w:sz="0" w:space="0" w:color="auto"/>
        <w:bottom w:val="none" w:sz="0" w:space="0" w:color="auto"/>
        <w:right w:val="none" w:sz="0" w:space="0" w:color="auto"/>
      </w:divBdr>
    </w:div>
    <w:div w:id="1004938135">
      <w:bodyDiv w:val="1"/>
      <w:marLeft w:val="0"/>
      <w:marRight w:val="0"/>
      <w:marTop w:val="0"/>
      <w:marBottom w:val="0"/>
      <w:divBdr>
        <w:top w:val="none" w:sz="0" w:space="0" w:color="auto"/>
        <w:left w:val="none" w:sz="0" w:space="0" w:color="auto"/>
        <w:bottom w:val="none" w:sz="0" w:space="0" w:color="auto"/>
        <w:right w:val="none" w:sz="0" w:space="0" w:color="auto"/>
      </w:divBdr>
    </w:div>
    <w:div w:id="1011369322">
      <w:bodyDiv w:val="1"/>
      <w:marLeft w:val="0"/>
      <w:marRight w:val="0"/>
      <w:marTop w:val="0"/>
      <w:marBottom w:val="0"/>
      <w:divBdr>
        <w:top w:val="none" w:sz="0" w:space="0" w:color="auto"/>
        <w:left w:val="none" w:sz="0" w:space="0" w:color="auto"/>
        <w:bottom w:val="none" w:sz="0" w:space="0" w:color="auto"/>
        <w:right w:val="none" w:sz="0" w:space="0" w:color="auto"/>
      </w:divBdr>
    </w:div>
    <w:div w:id="1058554269">
      <w:bodyDiv w:val="1"/>
      <w:marLeft w:val="0"/>
      <w:marRight w:val="0"/>
      <w:marTop w:val="0"/>
      <w:marBottom w:val="0"/>
      <w:divBdr>
        <w:top w:val="none" w:sz="0" w:space="0" w:color="auto"/>
        <w:left w:val="none" w:sz="0" w:space="0" w:color="auto"/>
        <w:bottom w:val="none" w:sz="0" w:space="0" w:color="auto"/>
        <w:right w:val="none" w:sz="0" w:space="0" w:color="auto"/>
      </w:divBdr>
    </w:div>
    <w:div w:id="1071923819">
      <w:bodyDiv w:val="1"/>
      <w:marLeft w:val="0"/>
      <w:marRight w:val="0"/>
      <w:marTop w:val="0"/>
      <w:marBottom w:val="0"/>
      <w:divBdr>
        <w:top w:val="none" w:sz="0" w:space="0" w:color="auto"/>
        <w:left w:val="none" w:sz="0" w:space="0" w:color="auto"/>
        <w:bottom w:val="none" w:sz="0" w:space="0" w:color="auto"/>
        <w:right w:val="none" w:sz="0" w:space="0" w:color="auto"/>
      </w:divBdr>
    </w:div>
    <w:div w:id="1077676187">
      <w:bodyDiv w:val="1"/>
      <w:marLeft w:val="0"/>
      <w:marRight w:val="0"/>
      <w:marTop w:val="0"/>
      <w:marBottom w:val="0"/>
      <w:divBdr>
        <w:top w:val="none" w:sz="0" w:space="0" w:color="auto"/>
        <w:left w:val="none" w:sz="0" w:space="0" w:color="auto"/>
        <w:bottom w:val="none" w:sz="0" w:space="0" w:color="auto"/>
        <w:right w:val="none" w:sz="0" w:space="0" w:color="auto"/>
      </w:divBdr>
    </w:div>
    <w:div w:id="1091390984">
      <w:bodyDiv w:val="1"/>
      <w:marLeft w:val="0"/>
      <w:marRight w:val="0"/>
      <w:marTop w:val="0"/>
      <w:marBottom w:val="0"/>
      <w:divBdr>
        <w:top w:val="none" w:sz="0" w:space="0" w:color="auto"/>
        <w:left w:val="none" w:sz="0" w:space="0" w:color="auto"/>
        <w:bottom w:val="none" w:sz="0" w:space="0" w:color="auto"/>
        <w:right w:val="none" w:sz="0" w:space="0" w:color="auto"/>
      </w:divBdr>
    </w:div>
    <w:div w:id="1096751312">
      <w:bodyDiv w:val="1"/>
      <w:marLeft w:val="0"/>
      <w:marRight w:val="0"/>
      <w:marTop w:val="0"/>
      <w:marBottom w:val="0"/>
      <w:divBdr>
        <w:top w:val="none" w:sz="0" w:space="0" w:color="auto"/>
        <w:left w:val="none" w:sz="0" w:space="0" w:color="auto"/>
        <w:bottom w:val="none" w:sz="0" w:space="0" w:color="auto"/>
        <w:right w:val="none" w:sz="0" w:space="0" w:color="auto"/>
      </w:divBdr>
    </w:div>
    <w:div w:id="1098142612">
      <w:bodyDiv w:val="1"/>
      <w:marLeft w:val="0"/>
      <w:marRight w:val="0"/>
      <w:marTop w:val="0"/>
      <w:marBottom w:val="0"/>
      <w:divBdr>
        <w:top w:val="none" w:sz="0" w:space="0" w:color="auto"/>
        <w:left w:val="none" w:sz="0" w:space="0" w:color="auto"/>
        <w:bottom w:val="none" w:sz="0" w:space="0" w:color="auto"/>
        <w:right w:val="none" w:sz="0" w:space="0" w:color="auto"/>
      </w:divBdr>
    </w:div>
    <w:div w:id="1190602831">
      <w:bodyDiv w:val="1"/>
      <w:marLeft w:val="0"/>
      <w:marRight w:val="0"/>
      <w:marTop w:val="0"/>
      <w:marBottom w:val="0"/>
      <w:divBdr>
        <w:top w:val="none" w:sz="0" w:space="0" w:color="auto"/>
        <w:left w:val="none" w:sz="0" w:space="0" w:color="auto"/>
        <w:bottom w:val="none" w:sz="0" w:space="0" w:color="auto"/>
        <w:right w:val="none" w:sz="0" w:space="0" w:color="auto"/>
      </w:divBdr>
    </w:div>
    <w:div w:id="1210845503">
      <w:bodyDiv w:val="1"/>
      <w:marLeft w:val="0"/>
      <w:marRight w:val="0"/>
      <w:marTop w:val="0"/>
      <w:marBottom w:val="0"/>
      <w:divBdr>
        <w:top w:val="none" w:sz="0" w:space="0" w:color="auto"/>
        <w:left w:val="none" w:sz="0" w:space="0" w:color="auto"/>
        <w:bottom w:val="none" w:sz="0" w:space="0" w:color="auto"/>
        <w:right w:val="none" w:sz="0" w:space="0" w:color="auto"/>
      </w:divBdr>
    </w:div>
    <w:div w:id="1269704559">
      <w:bodyDiv w:val="1"/>
      <w:marLeft w:val="0"/>
      <w:marRight w:val="0"/>
      <w:marTop w:val="0"/>
      <w:marBottom w:val="0"/>
      <w:divBdr>
        <w:top w:val="none" w:sz="0" w:space="0" w:color="auto"/>
        <w:left w:val="none" w:sz="0" w:space="0" w:color="auto"/>
        <w:bottom w:val="none" w:sz="0" w:space="0" w:color="auto"/>
        <w:right w:val="none" w:sz="0" w:space="0" w:color="auto"/>
      </w:divBdr>
    </w:div>
    <w:div w:id="1321036205">
      <w:bodyDiv w:val="1"/>
      <w:marLeft w:val="0"/>
      <w:marRight w:val="0"/>
      <w:marTop w:val="0"/>
      <w:marBottom w:val="0"/>
      <w:divBdr>
        <w:top w:val="none" w:sz="0" w:space="0" w:color="auto"/>
        <w:left w:val="none" w:sz="0" w:space="0" w:color="auto"/>
        <w:bottom w:val="none" w:sz="0" w:space="0" w:color="auto"/>
        <w:right w:val="none" w:sz="0" w:space="0" w:color="auto"/>
      </w:divBdr>
      <w:divsChild>
        <w:div w:id="549925640">
          <w:marLeft w:val="0"/>
          <w:marRight w:val="0"/>
          <w:marTop w:val="0"/>
          <w:marBottom w:val="0"/>
          <w:divBdr>
            <w:top w:val="none" w:sz="0" w:space="0" w:color="auto"/>
            <w:left w:val="none" w:sz="0" w:space="0" w:color="auto"/>
            <w:bottom w:val="none" w:sz="0" w:space="0" w:color="auto"/>
            <w:right w:val="none" w:sz="0" w:space="0" w:color="auto"/>
          </w:divBdr>
          <w:divsChild>
            <w:div w:id="555968990">
              <w:marLeft w:val="0"/>
              <w:marRight w:val="0"/>
              <w:marTop w:val="0"/>
              <w:marBottom w:val="0"/>
              <w:divBdr>
                <w:top w:val="none" w:sz="0" w:space="0" w:color="auto"/>
                <w:left w:val="none" w:sz="0" w:space="0" w:color="auto"/>
                <w:bottom w:val="none" w:sz="0" w:space="0" w:color="auto"/>
                <w:right w:val="none" w:sz="0" w:space="0" w:color="auto"/>
              </w:divBdr>
              <w:divsChild>
                <w:div w:id="1401292624">
                  <w:marLeft w:val="0"/>
                  <w:marRight w:val="0"/>
                  <w:marTop w:val="0"/>
                  <w:marBottom w:val="0"/>
                  <w:divBdr>
                    <w:top w:val="none" w:sz="0" w:space="0" w:color="auto"/>
                    <w:left w:val="none" w:sz="0" w:space="0" w:color="auto"/>
                    <w:bottom w:val="none" w:sz="0" w:space="0" w:color="auto"/>
                    <w:right w:val="none" w:sz="0" w:space="0" w:color="auto"/>
                  </w:divBdr>
                  <w:divsChild>
                    <w:div w:id="12147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666055">
      <w:bodyDiv w:val="1"/>
      <w:marLeft w:val="0"/>
      <w:marRight w:val="0"/>
      <w:marTop w:val="0"/>
      <w:marBottom w:val="0"/>
      <w:divBdr>
        <w:top w:val="none" w:sz="0" w:space="0" w:color="auto"/>
        <w:left w:val="none" w:sz="0" w:space="0" w:color="auto"/>
        <w:bottom w:val="none" w:sz="0" w:space="0" w:color="auto"/>
        <w:right w:val="none" w:sz="0" w:space="0" w:color="auto"/>
      </w:divBdr>
    </w:div>
    <w:div w:id="1356155212">
      <w:bodyDiv w:val="1"/>
      <w:marLeft w:val="0"/>
      <w:marRight w:val="0"/>
      <w:marTop w:val="0"/>
      <w:marBottom w:val="0"/>
      <w:divBdr>
        <w:top w:val="none" w:sz="0" w:space="0" w:color="auto"/>
        <w:left w:val="none" w:sz="0" w:space="0" w:color="auto"/>
        <w:bottom w:val="none" w:sz="0" w:space="0" w:color="auto"/>
        <w:right w:val="none" w:sz="0" w:space="0" w:color="auto"/>
      </w:divBdr>
      <w:divsChild>
        <w:div w:id="523590935">
          <w:marLeft w:val="0"/>
          <w:marRight w:val="0"/>
          <w:marTop w:val="0"/>
          <w:marBottom w:val="0"/>
          <w:divBdr>
            <w:top w:val="none" w:sz="0" w:space="0" w:color="auto"/>
            <w:left w:val="none" w:sz="0" w:space="0" w:color="auto"/>
            <w:bottom w:val="none" w:sz="0" w:space="0" w:color="auto"/>
            <w:right w:val="none" w:sz="0" w:space="0" w:color="auto"/>
          </w:divBdr>
          <w:divsChild>
            <w:div w:id="266893074">
              <w:marLeft w:val="0"/>
              <w:marRight w:val="0"/>
              <w:marTop w:val="0"/>
              <w:marBottom w:val="0"/>
              <w:divBdr>
                <w:top w:val="none" w:sz="0" w:space="0" w:color="auto"/>
                <w:left w:val="none" w:sz="0" w:space="0" w:color="auto"/>
                <w:bottom w:val="none" w:sz="0" w:space="0" w:color="auto"/>
                <w:right w:val="none" w:sz="0" w:space="0" w:color="auto"/>
              </w:divBdr>
              <w:divsChild>
                <w:div w:id="5239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0971">
      <w:bodyDiv w:val="1"/>
      <w:marLeft w:val="0"/>
      <w:marRight w:val="0"/>
      <w:marTop w:val="0"/>
      <w:marBottom w:val="0"/>
      <w:divBdr>
        <w:top w:val="none" w:sz="0" w:space="0" w:color="auto"/>
        <w:left w:val="none" w:sz="0" w:space="0" w:color="auto"/>
        <w:bottom w:val="none" w:sz="0" w:space="0" w:color="auto"/>
        <w:right w:val="none" w:sz="0" w:space="0" w:color="auto"/>
      </w:divBdr>
    </w:div>
    <w:div w:id="1407730641">
      <w:bodyDiv w:val="1"/>
      <w:marLeft w:val="0"/>
      <w:marRight w:val="0"/>
      <w:marTop w:val="0"/>
      <w:marBottom w:val="0"/>
      <w:divBdr>
        <w:top w:val="none" w:sz="0" w:space="0" w:color="auto"/>
        <w:left w:val="none" w:sz="0" w:space="0" w:color="auto"/>
        <w:bottom w:val="none" w:sz="0" w:space="0" w:color="auto"/>
        <w:right w:val="none" w:sz="0" w:space="0" w:color="auto"/>
      </w:divBdr>
    </w:div>
    <w:div w:id="1443456377">
      <w:bodyDiv w:val="1"/>
      <w:marLeft w:val="0"/>
      <w:marRight w:val="0"/>
      <w:marTop w:val="0"/>
      <w:marBottom w:val="0"/>
      <w:divBdr>
        <w:top w:val="none" w:sz="0" w:space="0" w:color="auto"/>
        <w:left w:val="none" w:sz="0" w:space="0" w:color="auto"/>
        <w:bottom w:val="none" w:sz="0" w:space="0" w:color="auto"/>
        <w:right w:val="none" w:sz="0" w:space="0" w:color="auto"/>
      </w:divBdr>
    </w:div>
    <w:div w:id="1473061505">
      <w:bodyDiv w:val="1"/>
      <w:marLeft w:val="0"/>
      <w:marRight w:val="0"/>
      <w:marTop w:val="0"/>
      <w:marBottom w:val="0"/>
      <w:divBdr>
        <w:top w:val="none" w:sz="0" w:space="0" w:color="auto"/>
        <w:left w:val="none" w:sz="0" w:space="0" w:color="auto"/>
        <w:bottom w:val="none" w:sz="0" w:space="0" w:color="auto"/>
        <w:right w:val="none" w:sz="0" w:space="0" w:color="auto"/>
      </w:divBdr>
    </w:div>
    <w:div w:id="1483157742">
      <w:bodyDiv w:val="1"/>
      <w:marLeft w:val="0"/>
      <w:marRight w:val="0"/>
      <w:marTop w:val="0"/>
      <w:marBottom w:val="0"/>
      <w:divBdr>
        <w:top w:val="none" w:sz="0" w:space="0" w:color="auto"/>
        <w:left w:val="none" w:sz="0" w:space="0" w:color="auto"/>
        <w:bottom w:val="none" w:sz="0" w:space="0" w:color="auto"/>
        <w:right w:val="none" w:sz="0" w:space="0" w:color="auto"/>
      </w:divBdr>
    </w:div>
    <w:div w:id="1520049659">
      <w:bodyDiv w:val="1"/>
      <w:marLeft w:val="0"/>
      <w:marRight w:val="0"/>
      <w:marTop w:val="0"/>
      <w:marBottom w:val="0"/>
      <w:divBdr>
        <w:top w:val="none" w:sz="0" w:space="0" w:color="auto"/>
        <w:left w:val="none" w:sz="0" w:space="0" w:color="auto"/>
        <w:bottom w:val="none" w:sz="0" w:space="0" w:color="auto"/>
        <w:right w:val="none" w:sz="0" w:space="0" w:color="auto"/>
      </w:divBdr>
    </w:div>
    <w:div w:id="1525174626">
      <w:bodyDiv w:val="1"/>
      <w:marLeft w:val="0"/>
      <w:marRight w:val="0"/>
      <w:marTop w:val="0"/>
      <w:marBottom w:val="0"/>
      <w:divBdr>
        <w:top w:val="none" w:sz="0" w:space="0" w:color="auto"/>
        <w:left w:val="none" w:sz="0" w:space="0" w:color="auto"/>
        <w:bottom w:val="none" w:sz="0" w:space="0" w:color="auto"/>
        <w:right w:val="none" w:sz="0" w:space="0" w:color="auto"/>
      </w:divBdr>
    </w:div>
    <w:div w:id="1543785934">
      <w:bodyDiv w:val="1"/>
      <w:marLeft w:val="0"/>
      <w:marRight w:val="0"/>
      <w:marTop w:val="0"/>
      <w:marBottom w:val="0"/>
      <w:divBdr>
        <w:top w:val="none" w:sz="0" w:space="0" w:color="auto"/>
        <w:left w:val="none" w:sz="0" w:space="0" w:color="auto"/>
        <w:bottom w:val="none" w:sz="0" w:space="0" w:color="auto"/>
        <w:right w:val="none" w:sz="0" w:space="0" w:color="auto"/>
      </w:divBdr>
    </w:div>
    <w:div w:id="1584410589">
      <w:bodyDiv w:val="1"/>
      <w:marLeft w:val="0"/>
      <w:marRight w:val="0"/>
      <w:marTop w:val="0"/>
      <w:marBottom w:val="0"/>
      <w:divBdr>
        <w:top w:val="none" w:sz="0" w:space="0" w:color="auto"/>
        <w:left w:val="none" w:sz="0" w:space="0" w:color="auto"/>
        <w:bottom w:val="none" w:sz="0" w:space="0" w:color="auto"/>
        <w:right w:val="none" w:sz="0" w:space="0" w:color="auto"/>
      </w:divBdr>
    </w:div>
    <w:div w:id="1602757836">
      <w:bodyDiv w:val="1"/>
      <w:marLeft w:val="0"/>
      <w:marRight w:val="0"/>
      <w:marTop w:val="0"/>
      <w:marBottom w:val="0"/>
      <w:divBdr>
        <w:top w:val="none" w:sz="0" w:space="0" w:color="auto"/>
        <w:left w:val="none" w:sz="0" w:space="0" w:color="auto"/>
        <w:bottom w:val="none" w:sz="0" w:space="0" w:color="auto"/>
        <w:right w:val="none" w:sz="0" w:space="0" w:color="auto"/>
      </w:divBdr>
    </w:div>
    <w:div w:id="1615406312">
      <w:bodyDiv w:val="1"/>
      <w:marLeft w:val="0"/>
      <w:marRight w:val="0"/>
      <w:marTop w:val="0"/>
      <w:marBottom w:val="0"/>
      <w:divBdr>
        <w:top w:val="none" w:sz="0" w:space="0" w:color="auto"/>
        <w:left w:val="none" w:sz="0" w:space="0" w:color="auto"/>
        <w:bottom w:val="none" w:sz="0" w:space="0" w:color="auto"/>
        <w:right w:val="none" w:sz="0" w:space="0" w:color="auto"/>
      </w:divBdr>
    </w:div>
    <w:div w:id="1642802794">
      <w:bodyDiv w:val="1"/>
      <w:marLeft w:val="0"/>
      <w:marRight w:val="0"/>
      <w:marTop w:val="0"/>
      <w:marBottom w:val="0"/>
      <w:divBdr>
        <w:top w:val="none" w:sz="0" w:space="0" w:color="auto"/>
        <w:left w:val="none" w:sz="0" w:space="0" w:color="auto"/>
        <w:bottom w:val="none" w:sz="0" w:space="0" w:color="auto"/>
        <w:right w:val="none" w:sz="0" w:space="0" w:color="auto"/>
      </w:divBdr>
    </w:div>
    <w:div w:id="1644197977">
      <w:bodyDiv w:val="1"/>
      <w:marLeft w:val="0"/>
      <w:marRight w:val="0"/>
      <w:marTop w:val="0"/>
      <w:marBottom w:val="0"/>
      <w:divBdr>
        <w:top w:val="none" w:sz="0" w:space="0" w:color="auto"/>
        <w:left w:val="none" w:sz="0" w:space="0" w:color="auto"/>
        <w:bottom w:val="none" w:sz="0" w:space="0" w:color="auto"/>
        <w:right w:val="none" w:sz="0" w:space="0" w:color="auto"/>
      </w:divBdr>
    </w:div>
    <w:div w:id="1647659621">
      <w:bodyDiv w:val="1"/>
      <w:marLeft w:val="0"/>
      <w:marRight w:val="0"/>
      <w:marTop w:val="0"/>
      <w:marBottom w:val="0"/>
      <w:divBdr>
        <w:top w:val="none" w:sz="0" w:space="0" w:color="auto"/>
        <w:left w:val="none" w:sz="0" w:space="0" w:color="auto"/>
        <w:bottom w:val="none" w:sz="0" w:space="0" w:color="auto"/>
        <w:right w:val="none" w:sz="0" w:space="0" w:color="auto"/>
      </w:divBdr>
    </w:div>
    <w:div w:id="1681395283">
      <w:bodyDiv w:val="1"/>
      <w:marLeft w:val="0"/>
      <w:marRight w:val="0"/>
      <w:marTop w:val="0"/>
      <w:marBottom w:val="0"/>
      <w:divBdr>
        <w:top w:val="none" w:sz="0" w:space="0" w:color="auto"/>
        <w:left w:val="none" w:sz="0" w:space="0" w:color="auto"/>
        <w:bottom w:val="none" w:sz="0" w:space="0" w:color="auto"/>
        <w:right w:val="none" w:sz="0" w:space="0" w:color="auto"/>
      </w:divBdr>
    </w:div>
    <w:div w:id="1699620297">
      <w:bodyDiv w:val="1"/>
      <w:marLeft w:val="0"/>
      <w:marRight w:val="0"/>
      <w:marTop w:val="0"/>
      <w:marBottom w:val="0"/>
      <w:divBdr>
        <w:top w:val="none" w:sz="0" w:space="0" w:color="auto"/>
        <w:left w:val="none" w:sz="0" w:space="0" w:color="auto"/>
        <w:bottom w:val="none" w:sz="0" w:space="0" w:color="auto"/>
        <w:right w:val="none" w:sz="0" w:space="0" w:color="auto"/>
      </w:divBdr>
    </w:div>
    <w:div w:id="1706101833">
      <w:bodyDiv w:val="1"/>
      <w:marLeft w:val="0"/>
      <w:marRight w:val="0"/>
      <w:marTop w:val="0"/>
      <w:marBottom w:val="0"/>
      <w:divBdr>
        <w:top w:val="none" w:sz="0" w:space="0" w:color="auto"/>
        <w:left w:val="none" w:sz="0" w:space="0" w:color="auto"/>
        <w:bottom w:val="none" w:sz="0" w:space="0" w:color="auto"/>
        <w:right w:val="none" w:sz="0" w:space="0" w:color="auto"/>
      </w:divBdr>
    </w:div>
    <w:div w:id="1758551114">
      <w:bodyDiv w:val="1"/>
      <w:marLeft w:val="0"/>
      <w:marRight w:val="0"/>
      <w:marTop w:val="0"/>
      <w:marBottom w:val="0"/>
      <w:divBdr>
        <w:top w:val="none" w:sz="0" w:space="0" w:color="auto"/>
        <w:left w:val="none" w:sz="0" w:space="0" w:color="auto"/>
        <w:bottom w:val="none" w:sz="0" w:space="0" w:color="auto"/>
        <w:right w:val="none" w:sz="0" w:space="0" w:color="auto"/>
      </w:divBdr>
    </w:div>
    <w:div w:id="1758596786">
      <w:bodyDiv w:val="1"/>
      <w:marLeft w:val="0"/>
      <w:marRight w:val="0"/>
      <w:marTop w:val="0"/>
      <w:marBottom w:val="0"/>
      <w:divBdr>
        <w:top w:val="none" w:sz="0" w:space="0" w:color="auto"/>
        <w:left w:val="none" w:sz="0" w:space="0" w:color="auto"/>
        <w:bottom w:val="none" w:sz="0" w:space="0" w:color="auto"/>
        <w:right w:val="none" w:sz="0" w:space="0" w:color="auto"/>
      </w:divBdr>
    </w:div>
    <w:div w:id="1764835904">
      <w:bodyDiv w:val="1"/>
      <w:marLeft w:val="0"/>
      <w:marRight w:val="0"/>
      <w:marTop w:val="0"/>
      <w:marBottom w:val="0"/>
      <w:divBdr>
        <w:top w:val="none" w:sz="0" w:space="0" w:color="auto"/>
        <w:left w:val="none" w:sz="0" w:space="0" w:color="auto"/>
        <w:bottom w:val="none" w:sz="0" w:space="0" w:color="auto"/>
        <w:right w:val="none" w:sz="0" w:space="0" w:color="auto"/>
      </w:divBdr>
    </w:div>
    <w:div w:id="1803229638">
      <w:bodyDiv w:val="1"/>
      <w:marLeft w:val="0"/>
      <w:marRight w:val="0"/>
      <w:marTop w:val="0"/>
      <w:marBottom w:val="0"/>
      <w:divBdr>
        <w:top w:val="none" w:sz="0" w:space="0" w:color="auto"/>
        <w:left w:val="none" w:sz="0" w:space="0" w:color="auto"/>
        <w:bottom w:val="none" w:sz="0" w:space="0" w:color="auto"/>
        <w:right w:val="none" w:sz="0" w:space="0" w:color="auto"/>
      </w:divBdr>
    </w:div>
    <w:div w:id="1818498692">
      <w:bodyDiv w:val="1"/>
      <w:marLeft w:val="0"/>
      <w:marRight w:val="0"/>
      <w:marTop w:val="0"/>
      <w:marBottom w:val="0"/>
      <w:divBdr>
        <w:top w:val="none" w:sz="0" w:space="0" w:color="auto"/>
        <w:left w:val="none" w:sz="0" w:space="0" w:color="auto"/>
        <w:bottom w:val="none" w:sz="0" w:space="0" w:color="auto"/>
        <w:right w:val="none" w:sz="0" w:space="0" w:color="auto"/>
      </w:divBdr>
      <w:divsChild>
        <w:div w:id="949820924">
          <w:marLeft w:val="0"/>
          <w:marRight w:val="0"/>
          <w:marTop w:val="0"/>
          <w:marBottom w:val="0"/>
          <w:divBdr>
            <w:top w:val="none" w:sz="0" w:space="0" w:color="auto"/>
            <w:left w:val="none" w:sz="0" w:space="0" w:color="auto"/>
            <w:bottom w:val="none" w:sz="0" w:space="0" w:color="auto"/>
            <w:right w:val="none" w:sz="0" w:space="0" w:color="auto"/>
          </w:divBdr>
          <w:divsChild>
            <w:div w:id="1450008741">
              <w:marLeft w:val="0"/>
              <w:marRight w:val="0"/>
              <w:marTop w:val="0"/>
              <w:marBottom w:val="0"/>
              <w:divBdr>
                <w:top w:val="none" w:sz="0" w:space="0" w:color="auto"/>
                <w:left w:val="none" w:sz="0" w:space="0" w:color="auto"/>
                <w:bottom w:val="none" w:sz="0" w:space="0" w:color="auto"/>
                <w:right w:val="none" w:sz="0" w:space="0" w:color="auto"/>
              </w:divBdr>
              <w:divsChild>
                <w:div w:id="332103397">
                  <w:marLeft w:val="0"/>
                  <w:marRight w:val="0"/>
                  <w:marTop w:val="0"/>
                  <w:marBottom w:val="0"/>
                  <w:divBdr>
                    <w:top w:val="none" w:sz="0" w:space="0" w:color="auto"/>
                    <w:left w:val="none" w:sz="0" w:space="0" w:color="auto"/>
                    <w:bottom w:val="none" w:sz="0" w:space="0" w:color="auto"/>
                    <w:right w:val="none" w:sz="0" w:space="0" w:color="auto"/>
                  </w:divBdr>
                  <w:divsChild>
                    <w:div w:id="21117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78814">
      <w:bodyDiv w:val="1"/>
      <w:marLeft w:val="0"/>
      <w:marRight w:val="0"/>
      <w:marTop w:val="0"/>
      <w:marBottom w:val="0"/>
      <w:divBdr>
        <w:top w:val="none" w:sz="0" w:space="0" w:color="auto"/>
        <w:left w:val="none" w:sz="0" w:space="0" w:color="auto"/>
        <w:bottom w:val="none" w:sz="0" w:space="0" w:color="auto"/>
        <w:right w:val="none" w:sz="0" w:space="0" w:color="auto"/>
      </w:divBdr>
    </w:div>
    <w:div w:id="1900895277">
      <w:bodyDiv w:val="1"/>
      <w:marLeft w:val="0"/>
      <w:marRight w:val="0"/>
      <w:marTop w:val="0"/>
      <w:marBottom w:val="0"/>
      <w:divBdr>
        <w:top w:val="none" w:sz="0" w:space="0" w:color="auto"/>
        <w:left w:val="none" w:sz="0" w:space="0" w:color="auto"/>
        <w:bottom w:val="none" w:sz="0" w:space="0" w:color="auto"/>
        <w:right w:val="none" w:sz="0" w:space="0" w:color="auto"/>
      </w:divBdr>
    </w:div>
    <w:div w:id="1903716565">
      <w:bodyDiv w:val="1"/>
      <w:marLeft w:val="0"/>
      <w:marRight w:val="0"/>
      <w:marTop w:val="0"/>
      <w:marBottom w:val="0"/>
      <w:divBdr>
        <w:top w:val="none" w:sz="0" w:space="0" w:color="auto"/>
        <w:left w:val="none" w:sz="0" w:space="0" w:color="auto"/>
        <w:bottom w:val="none" w:sz="0" w:space="0" w:color="auto"/>
        <w:right w:val="none" w:sz="0" w:space="0" w:color="auto"/>
      </w:divBdr>
    </w:div>
    <w:div w:id="1926838226">
      <w:bodyDiv w:val="1"/>
      <w:marLeft w:val="0"/>
      <w:marRight w:val="0"/>
      <w:marTop w:val="0"/>
      <w:marBottom w:val="0"/>
      <w:divBdr>
        <w:top w:val="none" w:sz="0" w:space="0" w:color="auto"/>
        <w:left w:val="none" w:sz="0" w:space="0" w:color="auto"/>
        <w:bottom w:val="none" w:sz="0" w:space="0" w:color="auto"/>
        <w:right w:val="none" w:sz="0" w:space="0" w:color="auto"/>
      </w:divBdr>
    </w:div>
    <w:div w:id="1935044655">
      <w:bodyDiv w:val="1"/>
      <w:marLeft w:val="0"/>
      <w:marRight w:val="0"/>
      <w:marTop w:val="0"/>
      <w:marBottom w:val="0"/>
      <w:divBdr>
        <w:top w:val="none" w:sz="0" w:space="0" w:color="auto"/>
        <w:left w:val="none" w:sz="0" w:space="0" w:color="auto"/>
        <w:bottom w:val="none" w:sz="0" w:space="0" w:color="auto"/>
        <w:right w:val="none" w:sz="0" w:space="0" w:color="auto"/>
      </w:divBdr>
    </w:div>
    <w:div w:id="1948848195">
      <w:bodyDiv w:val="1"/>
      <w:marLeft w:val="0"/>
      <w:marRight w:val="0"/>
      <w:marTop w:val="0"/>
      <w:marBottom w:val="0"/>
      <w:divBdr>
        <w:top w:val="none" w:sz="0" w:space="0" w:color="auto"/>
        <w:left w:val="none" w:sz="0" w:space="0" w:color="auto"/>
        <w:bottom w:val="none" w:sz="0" w:space="0" w:color="auto"/>
        <w:right w:val="none" w:sz="0" w:space="0" w:color="auto"/>
      </w:divBdr>
    </w:div>
    <w:div w:id="1955283901">
      <w:bodyDiv w:val="1"/>
      <w:marLeft w:val="0"/>
      <w:marRight w:val="0"/>
      <w:marTop w:val="0"/>
      <w:marBottom w:val="0"/>
      <w:divBdr>
        <w:top w:val="none" w:sz="0" w:space="0" w:color="auto"/>
        <w:left w:val="none" w:sz="0" w:space="0" w:color="auto"/>
        <w:bottom w:val="none" w:sz="0" w:space="0" w:color="auto"/>
        <w:right w:val="none" w:sz="0" w:space="0" w:color="auto"/>
      </w:divBdr>
    </w:div>
    <w:div w:id="1989167896">
      <w:bodyDiv w:val="1"/>
      <w:marLeft w:val="0"/>
      <w:marRight w:val="0"/>
      <w:marTop w:val="0"/>
      <w:marBottom w:val="0"/>
      <w:divBdr>
        <w:top w:val="none" w:sz="0" w:space="0" w:color="auto"/>
        <w:left w:val="none" w:sz="0" w:space="0" w:color="auto"/>
        <w:bottom w:val="none" w:sz="0" w:space="0" w:color="auto"/>
        <w:right w:val="none" w:sz="0" w:space="0" w:color="auto"/>
      </w:divBdr>
    </w:div>
    <w:div w:id="2024284542">
      <w:bodyDiv w:val="1"/>
      <w:marLeft w:val="0"/>
      <w:marRight w:val="0"/>
      <w:marTop w:val="0"/>
      <w:marBottom w:val="0"/>
      <w:divBdr>
        <w:top w:val="none" w:sz="0" w:space="0" w:color="auto"/>
        <w:left w:val="none" w:sz="0" w:space="0" w:color="auto"/>
        <w:bottom w:val="none" w:sz="0" w:space="0" w:color="auto"/>
        <w:right w:val="none" w:sz="0" w:space="0" w:color="auto"/>
      </w:divBdr>
    </w:div>
    <w:div w:id="2025284087">
      <w:bodyDiv w:val="1"/>
      <w:marLeft w:val="0"/>
      <w:marRight w:val="0"/>
      <w:marTop w:val="0"/>
      <w:marBottom w:val="0"/>
      <w:divBdr>
        <w:top w:val="none" w:sz="0" w:space="0" w:color="auto"/>
        <w:left w:val="none" w:sz="0" w:space="0" w:color="auto"/>
        <w:bottom w:val="none" w:sz="0" w:space="0" w:color="auto"/>
        <w:right w:val="none" w:sz="0" w:space="0" w:color="auto"/>
      </w:divBdr>
    </w:div>
    <w:div w:id="2041470843">
      <w:bodyDiv w:val="1"/>
      <w:marLeft w:val="0"/>
      <w:marRight w:val="0"/>
      <w:marTop w:val="0"/>
      <w:marBottom w:val="0"/>
      <w:divBdr>
        <w:top w:val="none" w:sz="0" w:space="0" w:color="auto"/>
        <w:left w:val="none" w:sz="0" w:space="0" w:color="auto"/>
        <w:bottom w:val="none" w:sz="0" w:space="0" w:color="auto"/>
        <w:right w:val="none" w:sz="0" w:space="0" w:color="auto"/>
      </w:divBdr>
    </w:div>
    <w:div w:id="2055613332">
      <w:bodyDiv w:val="1"/>
      <w:marLeft w:val="0"/>
      <w:marRight w:val="0"/>
      <w:marTop w:val="0"/>
      <w:marBottom w:val="0"/>
      <w:divBdr>
        <w:top w:val="none" w:sz="0" w:space="0" w:color="auto"/>
        <w:left w:val="none" w:sz="0" w:space="0" w:color="auto"/>
        <w:bottom w:val="none" w:sz="0" w:space="0" w:color="auto"/>
        <w:right w:val="none" w:sz="0" w:space="0" w:color="auto"/>
      </w:divBdr>
    </w:div>
    <w:div w:id="2064476976">
      <w:bodyDiv w:val="1"/>
      <w:marLeft w:val="0"/>
      <w:marRight w:val="0"/>
      <w:marTop w:val="0"/>
      <w:marBottom w:val="0"/>
      <w:divBdr>
        <w:top w:val="none" w:sz="0" w:space="0" w:color="auto"/>
        <w:left w:val="none" w:sz="0" w:space="0" w:color="auto"/>
        <w:bottom w:val="none" w:sz="0" w:space="0" w:color="auto"/>
        <w:right w:val="none" w:sz="0" w:space="0" w:color="auto"/>
      </w:divBdr>
    </w:div>
    <w:div w:id="2079479312">
      <w:bodyDiv w:val="1"/>
      <w:marLeft w:val="0"/>
      <w:marRight w:val="0"/>
      <w:marTop w:val="0"/>
      <w:marBottom w:val="0"/>
      <w:divBdr>
        <w:top w:val="none" w:sz="0" w:space="0" w:color="auto"/>
        <w:left w:val="none" w:sz="0" w:space="0" w:color="auto"/>
        <w:bottom w:val="none" w:sz="0" w:space="0" w:color="auto"/>
        <w:right w:val="none" w:sz="0" w:space="0" w:color="auto"/>
      </w:divBdr>
    </w:div>
    <w:div w:id="2097511222">
      <w:bodyDiv w:val="1"/>
      <w:marLeft w:val="0"/>
      <w:marRight w:val="0"/>
      <w:marTop w:val="0"/>
      <w:marBottom w:val="0"/>
      <w:divBdr>
        <w:top w:val="none" w:sz="0" w:space="0" w:color="auto"/>
        <w:left w:val="none" w:sz="0" w:space="0" w:color="auto"/>
        <w:bottom w:val="none" w:sz="0" w:space="0" w:color="auto"/>
        <w:right w:val="none" w:sz="0" w:space="0" w:color="auto"/>
      </w:divBdr>
    </w:div>
    <w:div w:id="2104642022">
      <w:bodyDiv w:val="1"/>
      <w:marLeft w:val="0"/>
      <w:marRight w:val="0"/>
      <w:marTop w:val="0"/>
      <w:marBottom w:val="0"/>
      <w:divBdr>
        <w:top w:val="none" w:sz="0" w:space="0" w:color="auto"/>
        <w:left w:val="none" w:sz="0" w:space="0" w:color="auto"/>
        <w:bottom w:val="none" w:sz="0" w:space="0" w:color="auto"/>
        <w:right w:val="none" w:sz="0" w:space="0" w:color="auto"/>
      </w:divBdr>
    </w:div>
    <w:div w:id="2112046409">
      <w:bodyDiv w:val="1"/>
      <w:marLeft w:val="0"/>
      <w:marRight w:val="0"/>
      <w:marTop w:val="0"/>
      <w:marBottom w:val="0"/>
      <w:divBdr>
        <w:top w:val="none" w:sz="0" w:space="0" w:color="auto"/>
        <w:left w:val="none" w:sz="0" w:space="0" w:color="auto"/>
        <w:bottom w:val="none" w:sz="0" w:space="0" w:color="auto"/>
        <w:right w:val="none" w:sz="0" w:space="0" w:color="auto"/>
      </w:divBdr>
      <w:divsChild>
        <w:div w:id="1009870021">
          <w:marLeft w:val="0"/>
          <w:marRight w:val="0"/>
          <w:marTop w:val="0"/>
          <w:marBottom w:val="0"/>
          <w:divBdr>
            <w:top w:val="none" w:sz="0" w:space="0" w:color="auto"/>
            <w:left w:val="none" w:sz="0" w:space="0" w:color="auto"/>
            <w:bottom w:val="none" w:sz="0" w:space="0" w:color="auto"/>
            <w:right w:val="none" w:sz="0" w:space="0" w:color="auto"/>
          </w:divBdr>
          <w:divsChild>
            <w:div w:id="73554078">
              <w:marLeft w:val="0"/>
              <w:marRight w:val="0"/>
              <w:marTop w:val="0"/>
              <w:marBottom w:val="0"/>
              <w:divBdr>
                <w:top w:val="none" w:sz="0" w:space="0" w:color="auto"/>
                <w:left w:val="none" w:sz="0" w:space="0" w:color="auto"/>
                <w:bottom w:val="none" w:sz="0" w:space="0" w:color="auto"/>
                <w:right w:val="none" w:sz="0" w:space="0" w:color="auto"/>
              </w:divBdr>
              <w:divsChild>
                <w:div w:id="17759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413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openxmlformats.org/officeDocument/2006/relationships/footer" Target="footer3.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3A8A71-5855-7246-991D-B1C70D7D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TotalTime>
  <Pages>26</Pages>
  <Words>11733</Words>
  <Characters>66881</Characters>
  <Application>Microsoft Macintosh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Chiriac</dc:creator>
  <cp:keywords/>
  <dc:description/>
  <cp:lastModifiedBy>Seonaid Daly</cp:lastModifiedBy>
  <cp:revision>87</cp:revision>
  <dcterms:created xsi:type="dcterms:W3CDTF">2017-11-04T13:19:00Z</dcterms:created>
  <dcterms:modified xsi:type="dcterms:W3CDTF">2018-01-17T16:14:00Z</dcterms:modified>
</cp:coreProperties>
</file>